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numbering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Rozdzial"/>
        <w:spacing w:before="0" w:after="120"/>
        <w:ind w:left="0" w:hanging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Przedmiotowy system oceniania </w:t>
      </w:r>
      <w:r>
        <w:rPr>
          <w:sz w:val="40"/>
          <w:szCs w:val="40"/>
        </w:rPr>
        <w:t>z fizyki – klasa 8</w:t>
      </w:r>
    </w:p>
    <w:tbl>
      <w:tblPr>
        <w:tblW w:w="61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95"/>
      </w:tblGrid>
      <w:tr>
        <w:trPr>
          <w:trHeight w:val="170" w:hRule="atLeast"/>
          <w:cantSplit w:val="true"/>
        </w:trPr>
        <w:tc>
          <w:tcPr>
            <w:tcW w:w="6195" w:type="dxa"/>
            <w:tcBorders/>
          </w:tcPr>
          <w:tbl>
            <w:tblPr>
              <w:tblStyle w:val="Tabela-Siatka"/>
              <w:tblW w:w="1388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13884"/>
            </w:tblGrid>
            <w:tr>
              <w:trPr/>
              <w:tc>
                <w:tcPr>
                  <w:tcW w:w="13884" w:type="dxa"/>
                  <w:tcBorders>
                    <w:top w:val="single" w:sz="48" w:space="0" w:color="FDF0E7"/>
                    <w:left w:val="single" w:sz="48" w:space="0" w:color="FDF0E7"/>
                    <w:bottom w:val="single" w:sz="48" w:space="0" w:color="FDF0E7"/>
                    <w:right w:val="single" w:sz="48" w:space="0" w:color="FDF0E7"/>
                  </w:tcBorders>
                  <w:shd w:color="auto" w:fill="FDF0E7" w:val="clear"/>
                </w:tcPr>
                <w:p>
                  <w:pPr>
                    <w:pStyle w:val="Tekstglowny"/>
                    <w:rPr>
                      <w:highlight w:val="none"/>
                      <w:shd w:fill="auto" w:val="clear"/>
                    </w:rPr>
                  </w:pPr>
                  <w:r>
                    <w:rPr>
                      <w:shd w:fill="auto" w:val="clear"/>
                    </w:rPr>
                  </w:r>
                </w:p>
              </w:tc>
            </w:tr>
          </w:tbl>
          <w:p>
            <w:pPr>
              <w:pStyle w:val="Tekstglowny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</w:tbl>
    <w:p>
      <w:pPr>
        <w:pStyle w:val="Tekstglowny"/>
        <w:spacing w:lineRule="exact" w:line="260"/>
        <w:rPr>
          <w:rFonts w:ascii="CentSchbookEU-Bold" w:hAnsi="CentSchbookEU-Bold" w:cs="CentSchbookEU-Bold"/>
          <w:b/>
          <w:bCs/>
        </w:rPr>
      </w:pPr>
      <w:r>
        <w:rPr>
          <w:rFonts w:cs="CentSchbookEU-Bold" w:ascii="CentSchbookEU-Bold" w:hAnsi="CentSchbookEU-Bold"/>
          <w:b/>
          <w:bCs/>
        </w:rPr>
      </w:r>
    </w:p>
    <w:p>
      <w:pPr>
        <w:pStyle w:val="Rdtytuzkwadratemgranatowym"/>
        <w:numPr>
          <w:ilvl w:val="0"/>
          <w:numId w:val="34"/>
        </w:numPr>
        <w:spacing w:lineRule="exact" w:line="260" w:before="0" w:after="0"/>
        <w:ind w:left="0" w:hanging="0"/>
        <w:rPr/>
      </w:pPr>
      <w:r>
        <w:rPr/>
        <w:t>Zasady ogólne:</w:t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611" w:leader="none"/>
        </w:tabs>
        <w:spacing w:lineRule="exact" w:line="260" w:before="120" w:after="0"/>
        <w:ind w:left="227" w:hanging="227"/>
        <w:contextualSpacing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Na </w:t>
      </w:r>
      <w:r>
        <w:rPr>
          <w:rFonts w:cs="Times New Roman" w:ascii="Times New Roman" w:hAnsi="Times New Roman"/>
          <w:b/>
          <w:sz w:val="20"/>
          <w:szCs w:val="20"/>
        </w:rPr>
        <w:t xml:space="preserve">podstawowym </w:t>
      </w:r>
      <w:r>
        <w:rPr>
          <w:rFonts w:cs="Times New Roman" w:ascii="Times New Roman" w:hAnsi="Times New Roman"/>
          <w:sz w:val="20"/>
          <w:szCs w:val="20"/>
        </w:rPr>
        <w:t xml:space="preserve">poziomie wymagań uczeń powinien wykonać zadania </w:t>
      </w:r>
      <w:r>
        <w:rPr>
          <w:rFonts w:cs="Times New Roman" w:ascii="Times New Roman" w:hAnsi="Times New Roman"/>
          <w:b/>
          <w:sz w:val="20"/>
          <w:szCs w:val="20"/>
        </w:rPr>
        <w:t xml:space="preserve">obowiązkowe </w:t>
      </w:r>
      <w:r>
        <w:rPr>
          <w:rFonts w:cs="Times New Roman" w:ascii="Times New Roman" w:hAnsi="Times New Roman"/>
          <w:sz w:val="20"/>
          <w:szCs w:val="20"/>
        </w:rPr>
        <w:t xml:space="preserve">(łatwe – na stopień dostateczny i bardzo łatwe – na stopień dopuszczający). Niektóre czynności ucznia mogą być </w:t>
      </w:r>
      <w:r>
        <w:rPr>
          <w:rFonts w:cs="Times New Roman" w:ascii="Times New Roman" w:hAnsi="Times New Roman"/>
          <w:b/>
          <w:sz w:val="20"/>
          <w:szCs w:val="20"/>
        </w:rPr>
        <w:t xml:space="preserve">wspomagane </w:t>
      </w:r>
      <w:r>
        <w:rPr>
          <w:rFonts w:cs="Times New Roman" w:ascii="Times New Roman" w:hAnsi="Times New Roman"/>
          <w:sz w:val="20"/>
          <w:szCs w:val="20"/>
        </w:rPr>
        <w:t>przez nauczyciela (np. wykonywanie doświadczeń, rozwiązywanie problemów; na stopień dostateczny uczeń wykonuje je pod kierunkiem nauczyciela, a na stopień dopuszczający – przy pomocy nauczyciela lub innych uczniów).</w:t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611" w:leader="none"/>
        </w:tabs>
        <w:spacing w:lineRule="exact" w:line="260" w:before="120" w:after="0"/>
        <w:ind w:left="227" w:hanging="227"/>
        <w:contextualSpacing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Czynności wymagane na poziomach wymagań </w:t>
      </w:r>
      <w:r>
        <w:rPr>
          <w:rFonts w:cs="Times New Roman" w:ascii="Times New Roman" w:hAnsi="Times New Roman"/>
          <w:b/>
          <w:sz w:val="20"/>
          <w:szCs w:val="20"/>
        </w:rPr>
        <w:t xml:space="preserve">wyższych </w:t>
      </w:r>
      <w:r>
        <w:rPr>
          <w:rFonts w:cs="Times New Roman" w:ascii="Times New Roman" w:hAnsi="Times New Roman"/>
          <w:sz w:val="20"/>
          <w:szCs w:val="20"/>
        </w:rPr>
        <w:t xml:space="preserve">niż poziom podstawowy uczeń powinien wykonać </w:t>
      </w:r>
      <w:r>
        <w:rPr>
          <w:rFonts w:cs="Times New Roman" w:ascii="Times New Roman" w:hAnsi="Times New Roman"/>
          <w:b/>
          <w:sz w:val="20"/>
          <w:szCs w:val="20"/>
        </w:rPr>
        <w:t xml:space="preserve">samodzielnie </w:t>
      </w:r>
      <w:r>
        <w:rPr>
          <w:rFonts w:cs="Times New Roman" w:ascii="Times New Roman" w:hAnsi="Times New Roman"/>
          <w:sz w:val="20"/>
          <w:szCs w:val="20"/>
        </w:rPr>
        <w:t>(na stopień dobry – niekiedy może korzystać z niewielkiego wsparcia nauczyciela).</w:t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611" w:leader="none"/>
        </w:tabs>
        <w:spacing w:lineRule="exact" w:line="260" w:before="120" w:after="0"/>
        <w:ind w:left="227" w:hanging="227"/>
        <w:contextualSpacing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W przypadku wymagań na stopnie </w:t>
      </w:r>
      <w:r>
        <w:rPr>
          <w:rFonts w:cs="Times New Roman" w:ascii="Times New Roman" w:hAnsi="Times New Roman"/>
          <w:b/>
          <w:sz w:val="20"/>
          <w:szCs w:val="20"/>
        </w:rPr>
        <w:t xml:space="preserve">wyższe </w:t>
      </w:r>
      <w:r>
        <w:rPr>
          <w:rFonts w:cs="Times New Roman" w:ascii="Times New Roman" w:hAnsi="Times New Roman"/>
          <w:sz w:val="20"/>
          <w:szCs w:val="20"/>
        </w:rPr>
        <w:t xml:space="preserve">niż dostateczny uczeń wykonuje zadania </w:t>
      </w:r>
      <w:r>
        <w:rPr>
          <w:rFonts w:cs="Times New Roman" w:ascii="Times New Roman" w:hAnsi="Times New Roman"/>
          <w:b/>
          <w:sz w:val="20"/>
          <w:szCs w:val="20"/>
        </w:rPr>
        <w:t xml:space="preserve">dodatkowe </w:t>
      </w:r>
      <w:r>
        <w:rPr>
          <w:rFonts w:cs="Times New Roman" w:ascii="Times New Roman" w:hAnsi="Times New Roman"/>
          <w:sz w:val="20"/>
          <w:szCs w:val="20"/>
        </w:rPr>
        <w:t>(na stopień dobry – umiarkowanie trudne; na stopień bardzo dobry – trudne).</w:t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611" w:leader="none"/>
        </w:tabs>
        <w:spacing w:lineRule="exact" w:line="260" w:before="120" w:after="0"/>
        <w:ind w:left="227" w:hanging="227"/>
        <w:contextualSpacing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Ocenę celującą otrzymuje uczeń, który opanował wszystkie treści z podstawy programowej oraz rozwiązuje zadania o wysokim stopniu trudności </w:t>
      </w:r>
    </w:p>
    <w:p>
      <w:pPr>
        <w:pStyle w:val="ListParagraph"/>
        <w:tabs>
          <w:tab w:val="clear" w:pos="708"/>
          <w:tab w:val="left" w:pos="611" w:leader="none"/>
        </w:tabs>
        <w:spacing w:lineRule="exact" w:line="260" w:before="120" w:after="0"/>
        <w:ind w:left="227" w:hanging="0"/>
        <w:contextualSpacing w:val="false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  <w:bookmarkStart w:id="0" w:name="_GoBack"/>
      <w:bookmarkStart w:id="1" w:name="_GoBack"/>
      <w:bookmarkEnd w:id="1"/>
    </w:p>
    <w:p>
      <w:pPr>
        <w:pStyle w:val="Tretekstu"/>
        <w:spacing w:lineRule="exact" w:line="280" w:before="1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Wymagania ogólne – uczeń: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0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wykorzystuje pojęcia i wielkości fizyczne do opisu zjawisk oraz wskazuje ich przykłady w otaczającej rzeczywistości,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4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rozwiązuje problemy z wykorzystaniem praw i zależności fizycznych,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4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planuje i przeprowadza obserwacje lub doświadczenia oraz wnioskuje na podstawie ich wyników,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3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posługuje się informacjami pochodzącymi z analizy materiałów źródłowych, w tym tekstów popularnonaukowych.</w:t>
      </w:r>
    </w:p>
    <w:p>
      <w:pPr>
        <w:pStyle w:val="Tretekstu"/>
        <w:spacing w:lineRule="exact" w:line="280" w:before="11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Tretekstu"/>
        <w:spacing w:lineRule="exact" w:line="280" w:before="1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Ponadto uczeń: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0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sprawnie się komunikuje,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4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sprawnie wykorzystuje narzędzia matematyki,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4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poszukuje, porządkuje, krytycznie analizuje oraz wykorzystuje informacje z różnych źródeł,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538" w:leader="none"/>
        </w:tabs>
        <w:spacing w:lineRule="exact" w:line="280" w:before="13" w:after="0"/>
        <w:ind w:left="227" w:hanging="227"/>
        <w:contextualSpacing w:val="false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potrafi pracować w zespole.</w:t>
      </w:r>
    </w:p>
    <w:p>
      <w:pPr>
        <w:pStyle w:val="Rdtytuzkwadratemzielonym"/>
        <w:numPr>
          <w:ilvl w:val="0"/>
          <w:numId w:val="35"/>
        </w:numPr>
        <w:spacing w:before="283" w:after="85"/>
        <w:ind w:left="0" w:hanging="0"/>
        <w:rPr/>
      </w:pPr>
      <w:r>
        <w:rPr/>
        <w:t xml:space="preserve">Szczegółowe wymagania na poszczególne stopnie (oceny) </w:t>
      </w:r>
    </w:p>
    <w:p>
      <w:pPr>
        <w:pStyle w:val="Tekstglowny"/>
        <w:spacing w:before="0" w:after="113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Symbolem</w:t>
      </w:r>
      <w:r>
        <w:rPr>
          <w:rFonts w:cs="Times New Roman" w:ascii="Times New Roman" w:hAnsi="Times New Roman"/>
          <w:sz w:val="20"/>
          <w:szCs w:val="20"/>
          <w:vertAlign w:val="superscript"/>
        </w:rPr>
        <w:t>R</w:t>
      </w:r>
      <w:r>
        <w:rPr>
          <w:rFonts w:cs="Times New Roman" w:ascii="Times New Roman" w:hAnsi="Times New Roman"/>
          <w:sz w:val="20"/>
          <w:szCs w:val="20"/>
        </w:rPr>
        <w:t xml:space="preserve"> oznaczono treści spoza podstawy programowej</w:t>
      </w:r>
    </w:p>
    <w:p>
      <w:pPr>
        <w:pStyle w:val="Tretekstu"/>
        <w:spacing w:before="10" w:after="0"/>
        <w:rPr>
          <w:sz w:val="12"/>
        </w:rPr>
      </w:pPr>
      <w:r>
        <w:rPr>
          <w:sz w:val="12"/>
        </w:rPr>
      </w:r>
    </w:p>
    <w:tbl>
      <w:tblPr>
        <w:tblStyle w:val="TableNormal1"/>
        <w:tblW w:w="13948" w:type="dxa"/>
        <w:jc w:val="center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1" w:noVBand="0" w:lastRow="1" w:firstColumn="1" w:lastColumn="1" w:noHBand="0" w:val="01e0"/>
      </w:tblPr>
      <w:tblGrid>
        <w:gridCol w:w="3300"/>
        <w:gridCol w:w="3865"/>
        <w:gridCol w:w="3717"/>
        <w:gridCol w:w="3065"/>
      </w:tblGrid>
      <w:tr>
        <w:trPr>
          <w:tblHeader w:val="true"/>
        </w:trPr>
        <w:tc>
          <w:tcPr>
            <w:tcW w:w="3300" w:type="dxa"/>
            <w:tcBorders>
              <w:top w:val="single" w:sz="4" w:space="0" w:color="C4C4C4"/>
              <w:left w:val="single" w:sz="4" w:space="0" w:color="C4C4C4"/>
              <w:bottom w:val="single" w:sz="8" w:space="0" w:color="E8B418"/>
              <w:right w:val="single" w:sz="4" w:space="0" w:color="C4C4C4"/>
            </w:tcBorders>
            <w:shd w:color="auto" w:fill="F8E7C0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color w:val="9B2424"/>
                <w:kern w:val="0"/>
                <w:sz w:val="17"/>
                <w:szCs w:val="17"/>
                <w:lang w:val="en-US"/>
              </w:rPr>
              <w:t>Stopień dopuszczający</w:t>
            </w:r>
          </w:p>
        </w:tc>
        <w:tc>
          <w:tcPr>
            <w:tcW w:w="3865" w:type="dxa"/>
            <w:tcBorders>
              <w:top w:val="single" w:sz="4" w:space="0" w:color="C4C4C4"/>
              <w:left w:val="single" w:sz="4" w:space="0" w:color="C4C4C4"/>
              <w:bottom w:val="single" w:sz="8" w:space="0" w:color="E8B418"/>
              <w:right w:val="single" w:sz="4" w:space="0" w:color="C4C4C4"/>
            </w:tcBorders>
            <w:shd w:color="auto" w:fill="F8E7C0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color w:val="9B2424"/>
                <w:kern w:val="0"/>
                <w:sz w:val="17"/>
                <w:szCs w:val="17"/>
                <w:lang w:val="en-US"/>
              </w:rPr>
              <w:t>Stopień dostateczny</w:t>
            </w:r>
          </w:p>
        </w:tc>
        <w:tc>
          <w:tcPr>
            <w:tcW w:w="3717" w:type="dxa"/>
            <w:tcBorders>
              <w:top w:val="single" w:sz="4" w:space="0" w:color="C4C4C4"/>
              <w:left w:val="single" w:sz="4" w:space="0" w:color="C4C4C4"/>
              <w:bottom w:val="single" w:sz="8" w:space="0" w:color="E8B418"/>
              <w:right w:val="single" w:sz="4" w:space="0" w:color="C4C4C4"/>
            </w:tcBorders>
            <w:shd w:color="auto" w:fill="F8E7C0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color w:val="9B2424"/>
                <w:kern w:val="0"/>
                <w:sz w:val="17"/>
                <w:szCs w:val="17"/>
                <w:lang w:val="en-US"/>
              </w:rPr>
              <w:t>Stopień dobry</w:t>
            </w:r>
          </w:p>
        </w:tc>
        <w:tc>
          <w:tcPr>
            <w:tcW w:w="3065" w:type="dxa"/>
            <w:tcBorders>
              <w:top w:val="single" w:sz="4" w:space="0" w:color="C4C4C4"/>
              <w:left w:val="single" w:sz="4" w:space="0" w:color="C4C4C4"/>
              <w:bottom w:val="single" w:sz="8" w:space="0" w:color="E8B418"/>
              <w:right w:val="single" w:sz="4" w:space="0" w:color="C4C4C4"/>
            </w:tcBorders>
            <w:shd w:color="auto" w:fill="F8E7C0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color w:val="9B2424"/>
                <w:kern w:val="0"/>
                <w:sz w:val="17"/>
                <w:szCs w:val="17"/>
                <w:lang w:val="en-US"/>
              </w:rPr>
              <w:t>Stopień bardzo dobry</w:t>
            </w:r>
          </w:p>
        </w:tc>
      </w:tr>
      <w:tr>
        <w:trPr/>
        <w:tc>
          <w:tcPr>
            <w:tcW w:w="13947" w:type="dxa"/>
            <w:gridSpan w:val="4"/>
            <w:tcBorders>
              <w:top w:val="single" w:sz="12" w:space="0" w:color="E8B418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40" w:after="4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kern w:val="0"/>
                <w:sz w:val="17"/>
                <w:szCs w:val="17"/>
                <w:lang w:val="en-US"/>
              </w:rPr>
              <w:t>I. ELEKTROSTATYKA</w:t>
            </w:r>
          </w:p>
        </w:tc>
      </w:tr>
      <w:tr>
        <w:trPr/>
        <w:tc>
          <w:tcPr>
            <w:tcW w:w="3300" w:type="dxa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6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informuje, czym zajmuje się ele-ktrostatyka; wskazuje przykłady elektryzowania ciał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ładunku elektrycznego; rozróżnia dwa rodzaje ładunków elektrycznych (dodatnie i ujemne)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wyjaśnia, z czego składa się atom; przedstawia model budowy atomu na schematycznym rysunku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pojęciami: przewodni-ka jako substancji, w której łatwo mogą się przemieszczać ładunki elektryczne, i izolatora jako substan-cji, w której ładunki elektryczne nie mogą się przemieszczać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odróżnia przewodniki od izolatorów; wskazuje ich przykłady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układu izolowanego; podaje zasadę zachowania ładunku elektrycznego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wyodrębnia z tekstów i rysunków informacje kluczowe dla opisywane-go zjawiska lub problemu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współpracuje w zespole podczas przeprowadzania obserwacji i do-świadczeń, przestrzegając zasad bezpieczeństwa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08"/>
                <w:tab w:val="left" w:pos="226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(bardzo łatwe) zadania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Elektrostatyka</w:t>
            </w:r>
          </w:p>
        </w:tc>
        <w:tc>
          <w:tcPr>
            <w:tcW w:w="3865" w:type="dxa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5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doświadczalnie demonstruje zjawiska elektryzowania przez potarcie lub dotyk oraz wzajemne oddziaływanie ciał naelektryzowanych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sposoby elektryzowania ciał przez potarcie i dotyk; informuje, że te zjawiska polegają na przemieszczaniu się elektronów; ilustruje to na przykładach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jakościowo oddziaływanie ładunków jednoimiennych i różnoimien-nych; podaje przykłady oddziaływań elektrostatycznych w otaczającej rzeczy-wistości i ich zastosowań (poznane na lekcji)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rFonts w:ascii="Cambria Math" w:hAnsi="Cambria Math"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>posługuje się pojęciem ładunku elementarnego; podaje symbol ładunku elementarnego oraz wartość: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 xml:space="preserve"> e ≈ 1,6 · 10</w:t>
            </w:r>
            <w:r>
              <w:rPr>
                <w:rFonts w:ascii="Cambria Math" w:hAnsi="Cambria Math"/>
                <w:kern w:val="0"/>
                <w:position w:val="5"/>
                <w:sz w:val="12"/>
                <w:szCs w:val="12"/>
                <w:lang w:val="en-US"/>
              </w:rPr>
              <w:t>–19</w:t>
            </w:r>
            <w:r>
              <w:rPr>
                <w:rFonts w:ascii="Cambria Math" w:hAnsi="Cambria Math"/>
                <w:kern w:val="0"/>
                <w:position w:val="5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C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pacing w:val="-6"/>
                <w:sz w:val="17"/>
                <w:szCs w:val="17"/>
                <w:lang w:val="pl-PL"/>
              </w:rPr>
            </w:pPr>
            <w:r>
              <w:rPr>
                <w:spacing w:val="-6"/>
                <w:kern w:val="0"/>
                <w:sz w:val="17"/>
                <w:szCs w:val="17"/>
                <w:lang w:val="en-US"/>
              </w:rPr>
              <w:t>posługuje się pojęciem ładunku elektrycznego jako wielokrotności ładunku elementarnego; stosuje jednostkę ładunku (</w:t>
            </w:r>
            <w:r>
              <w:rPr>
                <w:rFonts w:ascii="Cambria Math" w:hAnsi="Cambria Math"/>
                <w:spacing w:val="-6"/>
                <w:kern w:val="0"/>
                <w:sz w:val="17"/>
                <w:szCs w:val="17"/>
                <w:lang w:val="en-US"/>
              </w:rPr>
              <w:t>1 C</w:t>
            </w:r>
            <w:r>
              <w:rPr>
                <w:spacing w:val="-6"/>
                <w:kern w:val="0"/>
                <w:sz w:val="17"/>
                <w:szCs w:val="17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wyjaśnia na przykładach, kiedy ciało jest naładowane dodatnio, a kiedy jest nałado-wane ujemnie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jonu; wyjaśnia, kiedy powstaje jon dodatni, a kiedy – jon ujemny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doświadczalnie odróżnia przewodniki od izolatorów; wskazuje ich przykłady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informuje, że dobre przewodniki elektry-czności są również dobrymi przewodnikami ciepła; wymienia przykłady zastosowań przewodników i izolatorów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stosuje zasadę zachowania ładunku elektrycznego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budowę oraz zasadę działania elektroskopu; posługuje się elektroskopem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przemieszczanie się ładunków w przewodnikach pod wpływem oddziaływania ładunku zewnętrznego (indukcja elektrostatyczna)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podaje przykłady skutków i wykorzystania indukcji elektrostatycznej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przeprowadza doświadczenia:</w:t>
            </w:r>
          </w:p>
          <w:p>
            <w:pPr>
              <w:pStyle w:val="TableParagraph"/>
              <w:widowControl w:val="false"/>
              <w:numPr>
                <w:ilvl w:val="2"/>
                <w:numId w:val="36"/>
              </w:numPr>
              <w:tabs>
                <w:tab w:val="clear" w:pos="708"/>
                <w:tab w:val="left" w:pos="393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doświadczenie ilustrujące elektryzowanie ciał przez pocieranie oraz oddziaływanie ciał naelektryzowanych,</w:t>
            </w:r>
          </w:p>
          <w:p>
            <w:pPr>
              <w:pStyle w:val="TableParagraph"/>
              <w:widowControl w:val="false"/>
              <w:numPr>
                <w:ilvl w:val="2"/>
                <w:numId w:val="36"/>
              </w:numPr>
              <w:tabs>
                <w:tab w:val="clear" w:pos="708"/>
                <w:tab w:val="left" w:pos="393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doświadczenie wykazujące, że przewo-dnik można naelektryzować,</w:t>
            </w:r>
          </w:p>
          <w:p>
            <w:pPr>
              <w:pStyle w:val="TableParagraph"/>
              <w:widowControl w:val="false"/>
              <w:numPr>
                <w:ilvl w:val="2"/>
                <w:numId w:val="36"/>
              </w:numPr>
              <w:tabs>
                <w:tab w:val="clear" w:pos="708"/>
                <w:tab w:val="left" w:pos="393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elektryzowanie ciał przez zbliżenie ciała naelektryzowanego,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3" w:leader="none"/>
              </w:tabs>
              <w:spacing w:lineRule="exact" w:line="220"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korzystając z ich opisów i przestrzegając zasad bezpieczeństwa; opisuje przebieg przeprowadzonego doświadczenia (wyróż-nia kluczowe kroki i sposób postępowania, wyjaśnia rolę użytych przyrządów, przedstawia wyniki i formułuje wnioski na podstawie tych wyników)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zadania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Elektrostatyka</w:t>
            </w:r>
          </w:p>
        </w:tc>
        <w:tc>
          <w:tcPr>
            <w:tcW w:w="3717" w:type="dxa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4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wskazuje przykłady oddziaływań elektro-statycznych w otaczającej rzeczywistości i ich zastosowań (inne niż poznane na lekcji)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budowę i zastosowanie maszyny elektrostatycznej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porównuje oddziaływania elektrostaty-czne i grawitacyjne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wykazuje, że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1 C</w:t>
            </w:r>
            <w:r>
              <w:rPr>
                <w:kern w:val="0"/>
                <w:sz w:val="17"/>
                <w:szCs w:val="17"/>
                <w:lang w:val="en-US"/>
              </w:rPr>
              <w:t xml:space="preserve"> jest bardzo dużym ładunkiem elektrycznym (zawiera </w:t>
              <w:br/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6,24</w:t>
            </w:r>
            <w:r>
              <w:rPr>
                <w:rFonts w:ascii="Cambria Math" w:hAnsi="Cambria Math"/>
                <w:spacing w:val="-240"/>
                <w:kern w:val="0"/>
                <w:sz w:val="17"/>
                <w:szCs w:val="17"/>
                <w:lang w:val="en-US"/>
              </w:rPr>
              <w:t xml:space="preserve"> ·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 xml:space="preserve"> 10</w:t>
            </w:r>
            <w:r>
              <w:rPr>
                <w:rFonts w:ascii="Cambria Math" w:hAnsi="Cambria Math"/>
                <w:kern w:val="0"/>
                <w:position w:val="5"/>
                <w:sz w:val="12"/>
                <w:szCs w:val="12"/>
                <w:lang w:val="en-US"/>
              </w:rPr>
              <w:t>18</w:t>
            </w:r>
            <w:r>
              <w:rPr>
                <w:kern w:val="0"/>
                <w:position w:val="5"/>
                <w:sz w:val="17"/>
                <w:szCs w:val="17"/>
                <w:lang w:val="en-US"/>
              </w:rPr>
              <w:t xml:space="preserve"> </w:t>
            </w:r>
            <w:r>
              <w:rPr>
                <w:kern w:val="0"/>
                <w:sz w:val="17"/>
                <w:szCs w:val="17"/>
                <w:lang w:val="en-US"/>
              </w:rPr>
              <w:t xml:space="preserve">ładunków elementarnych: </w:t>
              <w:br/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1 C = 6,24 · 10</w:t>
            </w:r>
            <w:r>
              <w:rPr>
                <w:rFonts w:ascii="Cambria Math" w:hAnsi="Cambria Math"/>
                <w:kern w:val="0"/>
                <w:position w:val="5"/>
                <w:sz w:val="12"/>
                <w:szCs w:val="12"/>
                <w:lang w:val="en-US"/>
              </w:rPr>
              <w:t>18</w:t>
            </w:r>
            <w:r>
              <w:rPr>
                <w:i/>
                <w:kern w:val="0"/>
                <w:sz w:val="17"/>
                <w:szCs w:val="17"/>
                <w:lang w:val="en-US"/>
              </w:rPr>
              <w:t>e</w:t>
            </w:r>
            <w:r>
              <w:rPr>
                <w:kern w:val="0"/>
                <w:sz w:val="17"/>
                <w:szCs w:val="17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analizuje tzw. szereg tryboelektryczny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rozwiązuje zadania z wykorzystaniem zależności, że każdy ładunek elektryczny jest wielokrotnością ładunku elementarne-go; przelicza podwielokrotności, przepro-wadza obliczenia i zapisuje wynik zgodnie z zasadami zaokrąglania, z zachowaniem liczby cyfr znaczących wynikającej z danych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elektronów swobodnych; wykazuje, że w metalach znajdują się elektrony swobodne, a w izo-latorach elektrony są związane z atoma-mi; na tej podstawie uzasadnia podział substancji na przewodniki i izolatory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wyjaśnia wyniki obserwacji przeprowadzo-nych doświadczeń związanych z elektry-zowaniem przewodników; uzasadnia na przykładach, że przewodnik można naelektryzować wtedy, gdy odizoluje się go od ziemi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wyjaśnia, na czym polega uziemienie ciała naelektryzowanego i zobojętnienie zgromadzonego na nim ładunku elektrycznego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działanie i zastosowanie pioruno-chronu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projektuje i przeprowadza:</w:t>
            </w:r>
          </w:p>
          <w:p>
            <w:pPr>
              <w:pStyle w:val="TableParagraph"/>
              <w:widowControl w:val="false"/>
              <w:numPr>
                <w:ilvl w:val="2"/>
                <w:numId w:val="37"/>
              </w:numPr>
              <w:tabs>
                <w:tab w:val="clear" w:pos="708"/>
                <w:tab w:val="left" w:pos="392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doświadczenie ilustrujące właściwości ciał naelektryzowanych,</w:t>
            </w:r>
          </w:p>
          <w:p>
            <w:pPr>
              <w:pStyle w:val="TableParagraph"/>
              <w:widowControl w:val="false"/>
              <w:numPr>
                <w:ilvl w:val="2"/>
                <w:numId w:val="37"/>
              </w:numPr>
              <w:tabs>
                <w:tab w:val="clear" w:pos="708"/>
                <w:tab w:val="left" w:pos="392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doświadczenie ilustrujące skutki indukcji elektrostatycznej,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2" w:leader="none"/>
              </w:tabs>
              <w:spacing w:lineRule="exact" w:line="220"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krytycznie ocenia ich wyniki; wskazuje czynniki istotne i nieistotne dla wyników doświadczeń; formułuje wnioski na podstawie wyników doświadczeń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2" w:leader="none"/>
              </w:tabs>
              <w:spacing w:lineRule="exact" w:line="220"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bardziej złożone, ale typowe,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Elektrostatyka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08"/>
                <w:tab w:val="left" w:pos="224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informacjami pochodzącymi z analizy przeczytanych tekstów (w tym popularnonaukowych) dotyczących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Elektrostatyka </w:t>
            </w:r>
            <w:r>
              <w:rPr>
                <w:kern w:val="0"/>
                <w:sz w:val="17"/>
                <w:szCs w:val="17"/>
                <w:lang w:val="en-US"/>
              </w:rPr>
              <w:t xml:space="preserve">(w szczególności tekstu: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Gdzie wykorzystuje się elektryzowanie ciał</w:t>
            </w:r>
            <w:r>
              <w:rPr>
                <w:kern w:val="0"/>
                <w:sz w:val="17"/>
                <w:szCs w:val="17"/>
                <w:lang w:val="en-US"/>
              </w:rPr>
              <w:t>)</w:t>
            </w:r>
          </w:p>
        </w:tc>
        <w:tc>
          <w:tcPr>
            <w:tcW w:w="3065" w:type="dxa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224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posługuje się pojęciem dipolu elektrycznego do wyjaśnienia skutków indukcji elektrostatycznej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224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realizuje własny projekt dotyczący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Elektrostatyka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08"/>
                <w:tab w:val="left" w:pos="224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złożone, nietypowe,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Elektrostatyka</w:t>
            </w:r>
          </w:p>
        </w:tc>
      </w:tr>
      <w:tr>
        <w:trPr/>
        <w:tc>
          <w:tcPr>
            <w:tcW w:w="13947" w:type="dxa"/>
            <w:gridSpan w:val="4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40" w:after="4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kern w:val="0"/>
                <w:sz w:val="17"/>
                <w:szCs w:val="17"/>
                <w:lang w:val="en-US"/>
              </w:rPr>
              <w:t>II. PRĄD ELEKTRYCZNY</w:t>
            </w:r>
          </w:p>
        </w:tc>
      </w:tr>
      <w:tr>
        <w:trPr/>
        <w:tc>
          <w:tcPr>
            <w:tcW w:w="3300" w:type="dxa"/>
            <w:vMerge w:val="restart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określa umowny kierunek przepływu prądu elektrycznego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przeprowadza doświadczenie modelowe ilustrujące, czym jest natężenie prądu, korzystając z jego opisu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>posługuje się pojęciem natężenia prądu wraz z jego jednostką (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1 A</w:t>
            </w:r>
            <w:r>
              <w:rPr>
                <w:kern w:val="0"/>
                <w:sz w:val="17"/>
                <w:szCs w:val="17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obwodu elektrycznego; podaje warunki przepływu prądu elektrycznego w obwodzie elektrycznym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wymienia elementy prostego obwo-du elektrycznego: źródło energii elektrycznej, odbiornik (np. żarówka, opornik), przewody, wyłącznik, mierniki (amperomierz, woltomierz); rozróżnia symbole graficzne tych elementów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wymienia przyrządy służące do pomiaru napięcia elektrycznego i natężenia prądu elektrycznego; wyjaśnia, jak włącza się je do obwodu elektrycznego (ampero-mierz szeregowo, woltomierz równolegle)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wymienia formy energii, na jakie jest zamieniana energia elektryczna; wymienia źródła energii elektrycznej i odbiorniki; podaje ich przykłady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wyjaśnia, na czym polega zwarcie; opisuje rolę izolacji i bezpieczników przeciążeniowych w domowej sieci elektrycznej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warunki bezpiecznego korzystania z energii elektrycznej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wyodrębnia z tekstów, tabel i rysunków informacje kluczowe dla opisywanego zjawiska lub problemu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rozpoznaje zależność rosnącą bądź malejącą na podstawie danych z tabeli lub na podstawie wykresu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współpracuje w zespole podczas przeprowadzania obserwacji i do-świadczeń, przestrzegając zasad bezpieczeństwa</w:t>
            </w:r>
          </w:p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(bardzo łatwe) zadania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Prąd elektryczny</w:t>
            </w:r>
          </w:p>
        </w:tc>
        <w:tc>
          <w:tcPr>
            <w:tcW w:w="3865" w:type="dxa"/>
            <w:vMerge w:val="restart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>posługuje się pojęciem napięcia elektrycznego jako wielkości określającej ilość energii potrzebnej do przeniesienia jednostkowego ładunku w obwodzie; stosuje jednostkę napięcia (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1 V</w:t>
            </w:r>
            <w:r>
              <w:rPr>
                <w:kern w:val="0"/>
                <w:sz w:val="17"/>
                <w:szCs w:val="17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przepływ prądu w obwodach jako ruch elektronów swobodnych albo jonów w przewodnikach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stosuje w obliczeniach związek między natężeniem prądu a ładunkiem i czasem jego przepływu przez poprzeczny przekrój przewodnika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pacing w:val="-8"/>
                <w:sz w:val="17"/>
                <w:szCs w:val="17"/>
                <w:lang w:val="pl-PL"/>
              </w:rPr>
            </w:pPr>
            <w:r>
              <w:rPr>
                <w:spacing w:val="-8"/>
                <w:kern w:val="0"/>
                <w:sz w:val="17"/>
                <w:szCs w:val="17"/>
                <w:lang w:val="pl-PL"/>
              </w:rPr>
              <w:t>rozróżnia sposoby łączenia elementów obwodu elektrycznego: szeregowy i równoległy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rysuje schematy obwodów elektrycznych składających się z jednego źródła energii, jednego odbiornika, mierników i wyłączni-ków; posługuje się symbolami graficznymi tych elementów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>posługuje się pojęciem oporu elektry-cznego jako własnością przewodnika; posługuje się jednostką oporu (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1 Ω</w:t>
            </w:r>
            <w:r>
              <w:rPr>
                <w:kern w:val="0"/>
                <w:sz w:val="17"/>
                <w:szCs w:val="17"/>
                <w:lang w:val="en-US"/>
              </w:rPr>
              <w:t>).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stosuje w obliczeniach związek między napięciem a natężeniem prądu i oporem elektrycznym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pracy i mocy prądu elektrycznego wraz z ich jednostkami; stosuje w obliczeniach związek między tymi wielkościami oraz wzory na pracę i moc prądu elektrycznego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przelicza energię elektryczną wyrażoną w kilowatogodzinach na dżule i odwrotnie; oblicza zużycie energii elektrycznej dowolnego odbiornika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pacing w:val="-10"/>
                <w:sz w:val="17"/>
                <w:szCs w:val="17"/>
                <w:lang w:val="pl-PL"/>
              </w:rPr>
            </w:pPr>
            <w:r>
              <w:rPr>
                <w:spacing w:val="-10"/>
                <w:kern w:val="0"/>
                <w:sz w:val="17"/>
                <w:szCs w:val="17"/>
                <w:lang w:val="pl-PL"/>
              </w:rPr>
              <w:t>posługuje się pojęciem mocy znamionowej; analizuje i porównuje dane na tabliczkach znamionowych różnych urządzeń elektrycznych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pacing w:val="-8"/>
                <w:sz w:val="17"/>
                <w:szCs w:val="17"/>
                <w:lang w:val="pl-PL"/>
              </w:rPr>
            </w:pPr>
            <w:r>
              <w:rPr>
                <w:spacing w:val="-8"/>
                <w:kern w:val="0"/>
                <w:sz w:val="17"/>
                <w:szCs w:val="17"/>
                <w:lang w:val="pl-PL"/>
              </w:rPr>
              <w:t>wyjaśnia różnicę między prądem stałym i przemiennym; wskazuje baterię, akumulator i zasilacz jako źródła stałego napięcia; odróżnia to napięcie od napięcia w przewodach doprowadzających prąd do mieszkań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lineRule="exact" w:line="214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skutki działania prądu na organizm człowieka i inne organizmy żywe; wskazuje zagrożenia porażeniem prądem elektry-cznym; podaje podstawowe zasady udzie- lania pierwszej pomocy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skutki przerwania dostaw energii elektrycznej do urządzeń o kluczowym znaczeniu oraz rolę zasilania awaryjnego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przeprowadza doświadczenia:</w:t>
            </w:r>
          </w:p>
          <w:p>
            <w:pPr>
              <w:pStyle w:val="TableParagraph"/>
              <w:widowControl w:val="false"/>
              <w:numPr>
                <w:ilvl w:val="1"/>
                <w:numId w:val="38"/>
              </w:numPr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doświadczenie wykazujące przepływ ładunków przez przewodniki,</w:t>
            </w:r>
          </w:p>
          <w:p>
            <w:pPr>
              <w:pStyle w:val="TableParagraph"/>
              <w:widowControl w:val="false"/>
              <w:numPr>
                <w:ilvl w:val="1"/>
                <w:numId w:val="38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łączy według podanego schematu obwód elektryczny składający się ze źródła (baterii), odbiornika (żarówki), amperomierza i woltomierza,</w:t>
            </w:r>
          </w:p>
          <w:p>
            <w:pPr>
              <w:pStyle w:val="TableParagraph"/>
              <w:widowControl w:val="false"/>
              <w:numPr>
                <w:ilvl w:val="1"/>
                <w:numId w:val="38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>
            <w:pPr>
              <w:pStyle w:val="TableParagraph"/>
              <w:widowControl w:val="false"/>
              <w:numPr>
                <w:ilvl w:val="1"/>
                <w:numId w:val="38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wyznacza moc żarówki zasilanej z baterii za pomocą woltomierza i amperomierza,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3" w:leader="none"/>
              </w:tabs>
              <w:spacing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korzystając z ich opisów i przestrzegając zasad bezpieczeństwa; odczytuje wskazania mierników; opisuje przebieg przeprowadzonego doświadczenia (wyróż-nia kluczowe kroki i sposób postępowania, wskazuje rolę użytych przyrządów, przedstawia wyniki doświadczenia lub przeprowadza obliczenia i zapisuje wynik zgodnie z zasadami zaokrąglania, z zacho-waniem liczby cyfr znaczących wynikającej z dokładności pomiarów, formułuje wnioski na podstawie tych wyników)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zadania (lub problemy)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Prąd elektryczny </w:t>
            </w:r>
            <w:r>
              <w:rPr>
                <w:kern w:val="0"/>
                <w:sz w:val="17"/>
                <w:szCs w:val="17"/>
                <w:lang w:val="en-US"/>
              </w:rPr>
              <w:t>(rozpoznaje proporcjonalność prostą na podstawie wykresu, przelicza wielokrotności i podwielokrotności oraz jednostki czasu, przeprowadza obliczenia i zapisuje wynik zgodnie z zasadami zaokrąglania, z zacho-waniem liczby cyfr znaczących wynikającej z danych)</w:t>
            </w:r>
          </w:p>
        </w:tc>
        <w:tc>
          <w:tcPr>
            <w:tcW w:w="3717" w:type="dxa"/>
            <w:vMerge w:val="restart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9C9C9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porównuje oddziaływania elektro-statyczne i grawitacyjne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porównuje ruch swobodnych elektronów w przewodniku z ruchem elektronów wtedy, gdy do końców przewodnika podłączymy źródło napięcia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0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rozróżnia węzły i gałęzie; wskazuje je w obwodzie elektrycznym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1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doświadczalnie wyznacza opór przewodnika przez pomiary napięcia na jego końcach oraz natężenia płynącego przezeń prądu; zapisuje wyniki pomiarów wraz z ich jednostkami, z uwzględnieniem informacji o niepewności; przeprowadza obliczenia i zapisuje wynik zgodnie z zasadami zaokrąglania, z zachowaniem liczby cyfr znaczących wynikającej z dokładności pomiarów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1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stosuje w obliczeniach zależność oporu elektrycznego przewodnika od jego długości, pola przekroju poprzecznego i rodzaju materiału, z jakiego jest wykonany; przeprowadza obliczenia i zapisuje wynik zgodnie z zasadami zaokrąglania, z zachowaniem liczby cyfr znaczących wynikającej z dokładności danych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1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posługuje się pojęciem oporu właściwe-go oraz tabelami wielkości fizycznych w celu odszukania jego wartości dla danej substancji; analizuje i porównuje wartości oporu właściwego różnych substancji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1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opisuje zależność napięcia od czasu w przewodach doprowadzających prąd do mieszkań; posługuje się pojęciem napięcia skutecznego; wyjaśnia rolę zasilaczy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1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stwierdza, że elektrownie wytwarzają prąd przemienny, który do mieszkań jest dostarczany pod napięciem 230 V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16"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(lub problemy) bardziej złożone,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Prąd elektryczny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lineRule="exact" w:line="216"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informacjami pochodzącymi z analizy przeczytanych tekstów (w tym popularnonaukowych) dotyczących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Prąd elektryczny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realizuje projekt: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Żarówka czy świetlówka </w:t>
            </w:r>
            <w:r>
              <w:rPr>
                <w:kern w:val="0"/>
                <w:sz w:val="17"/>
                <w:szCs w:val="17"/>
                <w:lang w:val="en-US"/>
              </w:rPr>
              <w:t>(opisany w podręczniku)</w:t>
            </w:r>
          </w:p>
        </w:tc>
        <w:tc>
          <w:tcPr>
            <w:tcW w:w="3065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225" w:leader="none"/>
              </w:tabs>
              <w:spacing w:lineRule="auto" w:line="28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spacing w:val="-6"/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spacing w:val="-6"/>
                <w:kern w:val="0"/>
                <w:sz w:val="17"/>
                <w:szCs w:val="17"/>
                <w:lang w:val="en-US"/>
              </w:rPr>
              <w:t>projektuje i przeprowadza doświad-czenie (inne niż opisane w podrę-czniku)</w:t>
            </w:r>
            <w:r>
              <w:rPr>
                <w:spacing w:val="-4"/>
                <w:kern w:val="0"/>
                <w:sz w:val="17"/>
                <w:szCs w:val="17"/>
                <w:lang w:val="en-US"/>
              </w:rPr>
              <w:t xml:space="preserve"> wykazujące zale</w:t>
            </w:r>
            <w:r>
              <w:rPr>
                <w:kern w:val="0"/>
                <w:sz w:val="17"/>
                <w:szCs w:val="17"/>
                <w:lang w:val="en-US"/>
              </w:rPr>
              <w:t xml:space="preserve">żność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R</m:t>
              </m:r>
              <m:r>
                <w:rPr>
                  <w:rFonts w:ascii="Cambria Math" w:hAnsi="Cambria Math"/>
                </w:rPr>
                <m:t xml:space="preserve">=</m:t>
              </m:r>
              <m:r>
                <w:rPr>
                  <w:rFonts w:ascii="Cambria Math" w:hAnsi="Cambria Math"/>
                </w:rPr>
                <m:t xml:space="preserve">ρ</m:t>
              </m:r>
              <m:f>
                <m:num>
                  <m:r>
                    <w:rPr>
                      <w:rFonts w:ascii="Cambria Math" w:hAnsi="Cambria Math"/>
                    </w:rPr>
                    <m:t xml:space="preserve">l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S</m:t>
                  </m:r>
                </m:den>
              </m:f>
            </m:oMath>
            <w:r>
              <w:rPr>
                <w:kern w:val="0"/>
                <w:sz w:val="17"/>
                <w:szCs w:val="17"/>
                <w:lang w:val="en-US"/>
              </w:rPr>
              <w:t>; krytycznie ocenia jego wynik; wskazuje czynniki istotne i nieistotne dla jego wyniku; formułuje wnioski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sporządza wykres zależności natężenia prądu od przyłożonego napięcia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I</w:t>
            </w:r>
            <w:r>
              <w:rPr>
                <w:kern w:val="0"/>
                <w:sz w:val="17"/>
                <w:szCs w:val="17"/>
                <w:lang w:val="en-US"/>
              </w:rPr>
              <w:t>(</w:t>
            </w:r>
            <w:r>
              <w:rPr>
                <w:i/>
                <w:kern w:val="0"/>
                <w:sz w:val="17"/>
                <w:szCs w:val="17"/>
                <w:lang w:val="en-US"/>
              </w:rPr>
              <w:t>U</w:t>
            </w:r>
            <w:r>
              <w:rPr>
                <w:kern w:val="0"/>
                <w:sz w:val="17"/>
                <w:szCs w:val="17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ilustruje na wykresie zależność napięcia od czasu w przewodach doprowadzających prąd do mieszkań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złożone, nietypowe (lub problemy) doty-czące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Prąd elektryczny </w:t>
            </w:r>
            <w:r>
              <w:rPr>
                <w:kern w:val="0"/>
                <w:sz w:val="17"/>
                <w:szCs w:val="17"/>
                <w:lang w:val="en-US"/>
              </w:rPr>
              <w:t>(w tym związane z obliczaniem kosztów zużycia energii elektrycznej)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realizuje własny projekt związany z treścią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Prąd elektryczny </w:t>
            </w:r>
            <w:r>
              <w:rPr>
                <w:kern w:val="0"/>
                <w:sz w:val="17"/>
                <w:szCs w:val="17"/>
                <w:lang w:val="en-US"/>
              </w:rPr>
              <w:t>(inny niż opisany w podręczniku)</w:t>
            </w:r>
          </w:p>
        </w:tc>
      </w:tr>
      <w:tr>
        <w:trPr/>
        <w:tc>
          <w:tcPr>
            <w:tcW w:w="3300" w:type="dxa"/>
            <w:vMerge w:val="continue"/>
            <w:tcBorders>
              <w:top w:val="single" w:sz="4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</w:r>
          </w:p>
        </w:tc>
        <w:tc>
          <w:tcPr>
            <w:tcW w:w="3865" w:type="dxa"/>
            <w:vMerge w:val="continue"/>
            <w:tcBorders>
              <w:top w:val="single" w:sz="4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</w:r>
          </w:p>
        </w:tc>
        <w:tc>
          <w:tcPr>
            <w:tcW w:w="3717" w:type="dxa"/>
            <w:vMerge w:val="continue"/>
            <w:tcBorders>
              <w:top w:val="single" w:sz="4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</w:r>
          </w:p>
        </w:tc>
        <w:tc>
          <w:tcPr>
            <w:tcW w:w="3065" w:type="dxa"/>
            <w:tcBorders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</w:r>
          </w:p>
        </w:tc>
      </w:tr>
      <w:tr>
        <w:trPr/>
        <w:tc>
          <w:tcPr>
            <w:tcW w:w="13947" w:type="dxa"/>
            <w:gridSpan w:val="4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40" w:after="4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kern w:val="0"/>
                <w:sz w:val="17"/>
                <w:szCs w:val="17"/>
                <w:lang w:val="en-US"/>
              </w:rPr>
              <w:t>III. MAGNETYZM</w:t>
            </w:r>
          </w:p>
        </w:tc>
      </w:tr>
      <w:tr>
        <w:trPr/>
        <w:tc>
          <w:tcPr>
            <w:tcW w:w="3300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nazywa bieguny magnesów stałych, opisuje oddziaływanie między nimi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doświadczalnie demonstruje zacho-wanie się igły magnetycznej w obecności magnesu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zachowanie się igły magne-tycznej w otoczeniu prostoliniowego przewodnika z prądem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zwojnicy; stwierdza, że zwojnica, przez którą płynie prąd elektryczny, zachowuje się jak magnes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wskazuje oddziaływanie magnetyczne jako podstawę działania silników elektrycznych; podaje przykłady wykorzystania silników elektrycznych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wyodrębnia z tekstów i ilustracji informacje kluczowe dla opisywa-nego zjawiska lub problemu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współpracuje w zespole podczas przeprowadzania obserwacji i doświadczeń, przestrzegając zasad bezpieczeństwa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(bardzo łatwe) zadania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Magnetyzm</w:t>
            </w:r>
          </w:p>
        </w:tc>
        <w:tc>
          <w:tcPr>
            <w:tcW w:w="3865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zachowanie się igły magnetycznej w obecności magnesu oraz zasadę działania kompasu (podaje czynniki zakłócające jego prawidłowe działanie); posługuje się pojęciem biegunów magnetycznych Ziemi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na przykładzie żelaza oddziaływanie magnesów na materiały magnetyczne; stwierdza, że w pobliżu magnesu każdy kawałek żelaza staje się magnesem (namagnesowuje się), a przedmioty wyko-nane z ferromagnetyku wzmacniają oddziaływanie magnetyczne magnesu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pacing w:val="-6"/>
                <w:sz w:val="17"/>
                <w:szCs w:val="17"/>
                <w:lang w:val="pl-PL"/>
              </w:rPr>
            </w:pPr>
            <w:r>
              <w:rPr>
                <w:spacing w:val="-6"/>
                <w:kern w:val="0"/>
                <w:sz w:val="17"/>
                <w:szCs w:val="17"/>
                <w:lang w:val="pl-PL"/>
              </w:rPr>
              <w:t>podaje przykłady wykorzystania oddziaływania magnesów na materiały magnetyczne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właściwości ferromagnetyków; podaje przykłady ferromagnetyków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doświadczenie Oersteda; podaje wnioski wynikające z tego doświadczenia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doświadczalnie demonstruje zjawisko oddziaływania przewodnika z prądem na igłę magnetyczną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wzajemne oddziaływanie przewodników, przez które płynie prąd elektryczny, i magnesu trwałego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jakościowo wzajemne oddziały-wanie dwóch przewodników, przez które płynie prąd elektryczny (wyjaśnia, kiedy przewodniki się przyciągają, a kiedy odpychają)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budowę i działanie elektromagnesu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wzajemne oddziaływanie elektro-magnesów i magnesów; podaje przykłady zastosowania elektromagnesów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siły magnetycznej (elektrodynamicznej); opisuje jakościowo, od czego ona zależy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przeprowadza doświadczenia: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bada wzajemne oddziaływanie mag-nesów oraz oddziaływanie magnesów na żelazo i inne materiały magnetyczne,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bada zachowanie igły magnetycznej w otoczeniu prostoliniowego przewod-nika z prądem,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bada oddziaływania magnesów trwałych i przewodników z prądem oraz wzajemne oddziaływanie przewodników z prądem,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 xml:space="preserve">bada zależność magnetycznych właści-wości zwojnicy od obecności w niej rdzenia z ferromagnetyku oraz liczby zwojów i natężenia prądu płynącego przez zwoje, 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3" w:leader="none"/>
              </w:tabs>
              <w:spacing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korzystając z ich opisów i przestrzegając zasad bezpieczeństwa; wskazuje rolę użytych przyrządów oraz czynniki istotne i nieistotne dla wyników doświadczeń; formułuje wnioski na podstawie tych wyników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zadania (lub problemy)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Magnetyzm</w:t>
            </w:r>
          </w:p>
        </w:tc>
        <w:tc>
          <w:tcPr>
            <w:tcW w:w="3717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sz w:val="17"/>
                <w:szCs w:val="17"/>
                <w:lang w:val="pl-PL"/>
              </w:rPr>
              <w:t>porównuje oddziaływania elektrostaty-czne i magnetyczne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sz w:val="17"/>
                <w:szCs w:val="17"/>
                <w:lang w:val="pl-PL"/>
              </w:rPr>
              <w:t>wyjaśnia, na czym polega namagneso-wanie ferromagnetyku; posługuje się pojęciem domen magnetycznych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sz w:val="17"/>
                <w:szCs w:val="17"/>
                <w:lang w:val="pl-PL"/>
              </w:rPr>
              <w:t>stwierdza, że linie, wzdłuż których igła kompasu lub opiłki układają się wokół prostoliniowego przewodnika z prą-dem, mają kształt współśrodkowych okręgów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sz w:val="17"/>
                <w:szCs w:val="17"/>
                <w:lang w:val="pl-PL"/>
              </w:rPr>
              <w:t>opisuje sposoby wyznaczania biegunowości magnetycznej przewod-nika kołowego i zwojnicy (reguła śruby prawoskrętnej, reguła prawej dłoni, na podstawie ułożenia strzałek oznaczają-cych kierunek prądu – metoda liter S i N); stosuje wybrany sposób wyznaczania biegunowości przewod-nika kołowego lub zwojnicy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sz w:val="17"/>
                <w:szCs w:val="17"/>
                <w:lang w:val="pl-PL"/>
              </w:rPr>
              <w:t>opisuje działanie dzwonka elektro-magnetycznego lub zamka elektry-cznego, korzystając ze schematu przedstawiającego jego budowę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spacing w:val="6"/>
                <w:kern w:val="0"/>
                <w:sz w:val="17"/>
                <w:szCs w:val="17"/>
                <w:lang w:val="en-US"/>
              </w:rPr>
              <w:t>wyjaśnia, co to są paramagnetyki i diamagnetyki; podaje ich przykłady; przeprowadza doświadczenie wy-kazujące oddziaływanie magnesu na diamagnetyk, korzystając z jego opisu; formułuje wniosek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sz w:val="17"/>
                <w:szCs w:val="17"/>
                <w:lang w:val="pl-PL"/>
              </w:rPr>
              <w:t>ustala kierunek i zwrot działania siły magnetycznej na podstawie reguły lewej dłoni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25" w:leader="none"/>
              </w:tabs>
              <w:spacing w:lineRule="exact" w:line="226" w:before="0" w:after="20"/>
              <w:ind w:left="170" w:hanging="170"/>
              <w:jc w:val="both"/>
              <w:rPr>
                <w:spacing w:val="6"/>
                <w:sz w:val="17"/>
                <w:szCs w:val="17"/>
                <w:lang w:val="pl-PL"/>
              </w:rPr>
            </w:pPr>
            <w:r>
              <w:rPr>
                <w:spacing w:val="6"/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spacing w:val="6"/>
                <w:kern w:val="0"/>
                <w:sz w:val="17"/>
                <w:szCs w:val="17"/>
                <w:lang w:val="en-US"/>
              </w:rPr>
              <w:t>opisuje budowę silnika elektrycznego prądu stałego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przeprowadza doświadczenia: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08"/>
                <w:tab w:val="left" w:pos="395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działanie siły magne-tycznej, bada, od czego zależą jej wartość i zwrot,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08"/>
                <w:tab w:val="left" w:pos="39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zasadę działania silnika elektrycznego prądu stałego,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5" w:leader="none"/>
              </w:tabs>
              <w:spacing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korzystając z ich opisu i przestrzegając zasad bezpieczeństwa; formułuje wnioski na podstawie wyników przeprowadzo-nych doświadczeń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(lub problemy) bardziej złożone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Magnetyzm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informacjami pochodzącymi z analizy przeczytanych tekstów (w tym popularnonaukowych) dotyczących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Magnetyzm </w:t>
            </w:r>
            <w:r>
              <w:rPr>
                <w:kern w:val="0"/>
                <w:sz w:val="17"/>
                <w:szCs w:val="17"/>
                <w:lang w:val="en-US"/>
              </w:rPr>
              <w:t xml:space="preserve">(w tym tekstu: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Właściwości magnesów i ich zastosowa-nia </w:t>
            </w:r>
            <w:r>
              <w:rPr>
                <w:kern w:val="0"/>
                <w:sz w:val="17"/>
                <w:szCs w:val="17"/>
                <w:lang w:val="en-US"/>
              </w:rPr>
              <w:t>zamieszczonego w podręczniku)</w:t>
            </w:r>
          </w:p>
        </w:tc>
        <w:tc>
          <w:tcPr>
            <w:tcW w:w="3065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projektuje i buduje elektromagnes (inny niż opisany w podręczniku); demonstruje jego działanie, przestrzegając zasad bezpie-czeństwa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złożone, nietypowe (lub problemy)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Magnetyzm </w:t>
            </w:r>
            <w:r>
              <w:rPr>
                <w:kern w:val="0"/>
                <w:sz w:val="17"/>
                <w:szCs w:val="17"/>
                <w:lang w:val="en-US"/>
              </w:rPr>
              <w:t>(w tym związane z analizą schematów urządzeń zawierających elektromagnesy)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realizuje własny projekt związany z treścią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Magnetyzm</w:t>
            </w:r>
          </w:p>
        </w:tc>
      </w:tr>
      <w:tr>
        <w:trPr/>
        <w:tc>
          <w:tcPr>
            <w:tcW w:w="13947" w:type="dxa"/>
            <w:gridSpan w:val="4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40" w:after="4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kern w:val="0"/>
                <w:sz w:val="17"/>
                <w:szCs w:val="17"/>
                <w:lang w:val="en-US"/>
              </w:rPr>
              <w:t>IV. DRGANIA i FALE</w:t>
            </w:r>
          </w:p>
        </w:tc>
      </w:tr>
      <w:tr>
        <w:trPr/>
        <w:tc>
          <w:tcPr>
            <w:tcW w:w="3300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pl-PL"/>
              </w:rPr>
              <w:t>opisuje ruch okresowy wahadła; wskazuje położenie równowagi i amplitudę tego ruchu; podaje przykłady ruchu okresowego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pl-PL"/>
              </w:rPr>
              <w:t>posługuje się pojęciami okresu i częstotliwości wraz z ich jednostka-mi do opisu ruchu okresowego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pl-PL"/>
              </w:rPr>
              <w:t>wyznacza amplitudę i okres drgań na podstawie wykresu zależności położenia od czasu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wskazuje drgające ciało jako źródło fali mechanicznej; posługuje się pojęciami: amplitudy, okresu, częstotliwości i długości fali do opisu fal; podaje przykłady fal mechani-cznych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stwierdza, że źródłem dźwięku jest drgające ciało, a do jego rozcho-dzenia się potrzebny jest ośrodek (dźwięk nie rozchodzi się w próżni); podaje przykłady źródeł dźwięków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stwierdza, że fale dźwiękowe można opisać za pomocą tych samych związków między długością, prędkością, częstotliwością i okresem fali, jak w przypadku fal mechani-cznych; porównuje wartości prędkości fal dźwiękowych w różnych ośrodkach, korzystając z tabeli tych wartości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wymienia rodzaje fal elektromag-netycznych: radiowe, mikrofale, promieniowanie podczerwone, światło widzialne, promieniowanie nadfioletowe, rentgenowskie i gamma; podaje przykłady ich zastosowania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przeprowadza doświadczenia: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393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ruch drgający ciężar-ka zawieszonego na sprężynie lub nici; wskazuje położenie równo-wagi i amplitudę drgań,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393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powstawanie fali na sznurze i wodzie,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393" w:leader="none"/>
              </w:tabs>
              <w:spacing w:lineRule="exact" w:line="220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wytwarza dźwięki i wykazuje, że do rozchodzenia się dźwięku potrzebny jest ośrodek,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393" w:leader="none"/>
              </w:tabs>
              <w:spacing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wytwarza dźwięki; bada jako-ściowo zależność ich wysokości od częstotliwości drgań i zależność ich głośności od amplitudy drgań,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3" w:leader="none"/>
              </w:tabs>
              <w:spacing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korzystając z ich opisów; opisuje przebieg przeprowadzonego do-świadczenia, przedstawia wyniki i formułuje wnioski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wyodrębnia z tekstów, tabel i ilustracji informacje kluczowe dla opisywanego zjawiska lub problemu; rozpoznaje zależność rosnącą i za- leżność malejącą na podstawie danych z tabeli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współpracuje w zespole podczas przeprowadzania obserwacji i do-świadczeń, przestrzegając zasad bezpieczeństwa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(bardzo łatwe) zadania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Drgania i fale</w:t>
            </w:r>
          </w:p>
        </w:tc>
        <w:tc>
          <w:tcPr>
            <w:tcW w:w="3865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lineRule="exact" w:line="240" w:before="0" w:after="20"/>
              <w:ind w:left="170" w:hanging="170"/>
              <w:jc w:val="both"/>
              <w:rPr>
                <w:spacing w:val="4"/>
                <w:sz w:val="17"/>
                <w:szCs w:val="17"/>
              </w:rPr>
            </w:pPr>
            <w:r>
              <w:rPr>
                <w:spacing w:val="4"/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225" w:leader="none"/>
              </w:tabs>
              <w:spacing w:lineRule="exact" w:line="240" w:before="0" w:after="20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pl-PL"/>
              </w:rPr>
              <w:t>opisuje ruch drgający (drgania) ciała pod wpływem siły sprężystości; wskazuje położenie równowagi i amplitudę drgań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en-US"/>
              </w:rPr>
              <w:t>posługuje się pojęciem częstotliwości jako liczbą pełnych</w:t>
            </w:r>
            <w:r>
              <w:rPr>
                <w:spacing w:val="4"/>
                <w:kern w:val="0"/>
                <w:position w:val="1"/>
                <w:sz w:val="17"/>
                <w:szCs w:val="17"/>
                <w:lang w:val="en-US"/>
              </w:rPr>
              <w:t xml:space="preserve"> drgań (wahnięć) wykona-nych w jednostce czasu (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f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r>
                    <w:rPr>
                      <w:rFonts w:ascii="Cambria Math" w:hAnsi="Cambria Math"/>
                    </w:rPr>
                    <m:t xml:space="preserve">n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t</m:t>
                  </m:r>
                </m:den>
              </m:f>
            </m:oMath>
            <w:r>
              <w:rPr>
                <w:spacing w:val="4"/>
                <w:kern w:val="0"/>
                <w:position w:val="1"/>
                <w:sz w:val="17"/>
                <w:szCs w:val="17"/>
                <w:lang w:val="en-US"/>
              </w:rPr>
              <w:t>) i na tej podstawie określa jej jednostkę (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1</m:t>
              </m:r>
              <m:r>
                <w:rPr>
                  <w:rFonts w:ascii="Cambria Math" w:hAnsi="Cambria Math"/>
                </w:rPr>
                <m:t xml:space="preserve">Hz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r>
                    <w:rPr>
                      <w:rFonts w:ascii="Cambria Math" w:hAnsi="Cambria Math"/>
                    </w:rPr>
                    <m:t xml:space="preserve">1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s</m:t>
                  </m:r>
                </m:den>
              </m:f>
            </m:oMath>
            <w:r>
              <w:rPr>
                <w:spacing w:val="4"/>
                <w:kern w:val="0"/>
                <w:position w:val="1"/>
                <w:sz w:val="17"/>
                <w:szCs w:val="17"/>
                <w:lang w:val="en-US"/>
              </w:rPr>
              <w:t>); stos</w:t>
            </w:r>
            <w:r>
              <w:rPr>
                <w:spacing w:val="4"/>
                <w:kern w:val="0"/>
                <w:sz w:val="17"/>
                <w:szCs w:val="17"/>
                <w:lang w:val="en-US"/>
              </w:rPr>
              <w:t xml:space="preserve">uje w obliczeniach związek między częstotliwością a okresem </w:t>
            </w:r>
            <w:r>
              <w:rPr>
                <w:spacing w:val="4"/>
                <w:kern w:val="0"/>
                <w:position w:val="1"/>
                <w:sz w:val="17"/>
                <w:szCs w:val="17"/>
                <w:lang w:val="en-US"/>
              </w:rPr>
              <w:t>drgań (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f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r>
                    <w:rPr>
                      <w:rFonts w:ascii="Cambria Math" w:hAnsi="Cambria Math"/>
                    </w:rPr>
                    <m:t xml:space="preserve">1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T</m:t>
                  </m:r>
                </m:den>
              </m:f>
            </m:oMath>
            <w:r>
              <w:rPr>
                <w:spacing w:val="4"/>
                <w:kern w:val="0"/>
                <w:position w:val="1"/>
                <w:sz w:val="17"/>
                <w:szCs w:val="17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225" w:leader="none"/>
              </w:tabs>
              <w:spacing w:lineRule="exact" w:line="24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en-US"/>
              </w:rPr>
              <w:t>doświadczalnie wyznacza okres i częstotli-wość w ruchu okresowym (wahadła i ciężarka zawieszonego na sprężynie);</w:t>
            </w:r>
            <w:r>
              <w:rPr>
                <w:kern w:val="0"/>
                <w:sz w:val="17"/>
                <w:szCs w:val="17"/>
                <w:lang w:val="en-US"/>
              </w:rPr>
              <w:t xml:space="preserve"> bada jakościowo 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obliczenia i zapisuje wyniki zgodnie z zasadami zaokrąglania, z zachowaniem liczby cyfr znaczących wynikającej z dokładności pomiarów; formułuje wnioski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analizuje jakościowo przemiany energii kinetycznej i energii potencjalnej sprężysto-ści w ruchu drgającym; podaje przykłady przemian energii podczas drgań zachodzących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przedstawia na schematycznym rysunku wykres zależności położenia od czasu w ruchu drgającym; zaznacza na nim amplitudę i okres drgań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rozchodzenie się fali mechanicznej jako proces przekazywania energii bez przenoszenia materii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before="0" w:after="4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pojęciem prędkości rozchodzenia się fali; opisuje związek między prędkością, długością i częstotliwością (lub okresem) fali: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v</m:t>
              </m:r>
              <m:r>
                <w:rPr>
                  <w:rFonts w:ascii="Cambria Math" w:hAnsi="Cambria Math"/>
                </w:rPr>
                <m:t xml:space="preserve">=</m:t>
              </m:r>
              <m:r>
                <w:rPr>
                  <w:rFonts w:ascii="Cambria Math" w:hAnsi="Cambria Math"/>
                </w:rPr>
                <m:t xml:space="preserve">∙</m:t>
              </m:r>
              <m:r>
                <w:rPr>
                  <w:rFonts w:ascii="Cambria Math" w:hAnsi="Cambria Math"/>
                </w:rPr>
                <m:t xml:space="preserve">f</m:t>
              </m:r>
            </m:oMath>
            <w:r>
              <w:rPr>
                <w:kern w:val="0"/>
                <w:sz w:val="17"/>
                <w:szCs w:val="17"/>
                <w:lang w:val="en-US"/>
              </w:rPr>
              <w:t xml:space="preserve"> (lub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v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/>
                <m:den>
                  <m:r>
                    <w:rPr>
                      <w:rFonts w:ascii="Cambria Math" w:hAnsi="Cambria Math"/>
                    </w:rPr>
                    <m:t xml:space="preserve">T</m:t>
                  </m:r>
                </m:den>
              </m:f>
            </m:oMath>
            <w:r>
              <w:rPr>
                <w:kern w:val="0"/>
                <w:sz w:val="16"/>
                <w:szCs w:val="16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>stosuje w obliczeniach związki między okresem</w:t>
            </w:r>
            <w:r>
              <w:rPr>
                <w:i/>
                <w:kern w:val="0"/>
                <w:position w:val="12"/>
                <w:sz w:val="17"/>
                <w:szCs w:val="17"/>
                <w:lang w:val="en-US"/>
              </w:rPr>
              <w:t xml:space="preserve"> </w:t>
            </w:r>
            <w:r>
              <w:rPr>
                <w:kern w:val="0"/>
                <w:sz w:val="17"/>
                <w:szCs w:val="17"/>
                <w:lang w:val="en-US"/>
              </w:rPr>
              <w:t>, częstotliwością i długością fali wraz z ich jednostkami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4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doświadczalnie demonstruje dźwięki o różnych częstotliwościach z wykorzy-staniem drgającego przedmiotu lub instrumentu muzycznego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mechanizm powstawania i rozcho-dzenia się fal dźwiękowych w powietrzu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pojęciami energii i natężenia fali; opisuje jakościowo związek między energią fali a amplitudą fali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jakościowo związki między wysokością dźwięku a częstotliwością fali i między natężeniem dźwięku (głośnością) a energią fali i amplitudą fali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rozróżnia dźwięki słyszalne, ultradźwięki i infradźwięki; podaje przykłady ich źródeł i zastosowania; opisuje szkodliwość hałasu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doświadczalnie obserwuje oscylogramy dźwięków z wykorzystaniem różnych technik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stwierdza, że źródłem fal elektromag-netycznych są drgające ładunki elektryczne oraz prąd, którego natężenie zmienia się w czasie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poszczególne rodzaje fal elektromagnetycznych; podaje odpowia-dające im długości i częstotliwości fal, korzystając z diagramu przedstawiającego widmo fal elektromagnetycznych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wymienia cechy wspólne i różnice w rozchodzeniu się fal mechanicznych i elektromagnetycznych; podaje wartość prędkości fal elektromagnetycznych w próżni; porównuje wybrane fale (np. dźwiękowe i świetlne)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223" w:leader="none"/>
              </w:tabs>
              <w:spacing w:lineRule="exact" w:line="220" w:before="0" w:after="24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zadania (lub problemy)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Drgania i fale </w:t>
            </w:r>
            <w:r>
              <w:rPr>
                <w:kern w:val="0"/>
                <w:sz w:val="17"/>
                <w:szCs w:val="17"/>
                <w:lang w:val="en-US"/>
              </w:rPr>
              <w:t>(przelicza wielokrotności i podwielokrotności oraz jednostki czasu, przeprowadza oblicze-nia i zapisuje wynik zgodnie z zasadami zaokrąglania, z zachowaniem liczby cyfr znaczących wynikającej z danych)</w:t>
            </w:r>
          </w:p>
        </w:tc>
        <w:tc>
          <w:tcPr>
            <w:tcW w:w="3717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pojęciami: wahadła matematycznego, wahadła sprężynowe-go, częstotliwości drgań własnych; odróżnia wahadło matematyczne od wahadła sprężynowego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analizuje wykresy zależności położenia od czasu w ruchu drgającym; na podstawie tych wykresów porównuje drgania ciał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analizuje wykres fali; wskazuje oraz wyznacza jej długość i amplitudę; porównuje fale na podstawie ich ilustracji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omawia mechanizm wytwarzania dźwięków w wybranym instrumencie muzycznym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podaje wzór na natężenie fali oraz jednostkę natężenia fali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analizuje oscylogramy różnych dźwięków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posługuje się pojęciem poziomu natężenia dźwięku wraz z jego jednostką (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1 dB</w:t>
            </w:r>
            <w:r>
              <w:rPr>
                <w:kern w:val="0"/>
                <w:sz w:val="17"/>
                <w:szCs w:val="17"/>
                <w:lang w:val="en-US"/>
              </w:rPr>
              <w:t>); określa progi słyszalności i bólu oraz poziom natężenia hałasu szkodliwego dla zdrowia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wyjaśnia ogólną zasadę działania radia, telewizji i telefonów komórkowych, korzystając ze schematu przesyłania fal elektromagnetycznych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(lub problemy) bardziej złożone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Drgania i fale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informacjami pochodzącymi z analizy przeczytanych tekstów (w tym popularnonaukowych) dotyczących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Drgania i fale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realizuje projekt: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Prędkość i częstotliwość dźwięku </w:t>
            </w:r>
            <w:r>
              <w:rPr>
                <w:kern w:val="0"/>
                <w:sz w:val="17"/>
                <w:szCs w:val="17"/>
                <w:lang w:val="en-US"/>
              </w:rPr>
              <w:t>(opisany w podręczniku)</w:t>
            </w:r>
          </w:p>
        </w:tc>
        <w:tc>
          <w:tcPr>
            <w:tcW w:w="3065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pacing w:val="-4"/>
                <w:sz w:val="17"/>
                <w:szCs w:val="17"/>
                <w:lang w:val="pl-PL"/>
              </w:rPr>
            </w:pPr>
            <w:r>
              <w:rPr>
                <w:spacing w:val="-4"/>
                <w:kern w:val="0"/>
                <w:sz w:val="17"/>
                <w:szCs w:val="17"/>
                <w:lang w:val="pl-PL"/>
              </w:rPr>
              <w:t>projektuje i przeprowadza do-świadczenie (inne niż opisane w podręczniku) w celu zbadania, od czego (i jak) zależą, a od czego nie zależą okres i częstotliwość w ruchu okresowym; opracowuje i krytycznie ocenia wyniki doświadczenia; formułuje wnioski i prezentuje efekty przeprowadzo-nego badania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złożone, nietypowe (lub problemy),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Drgania i fale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realizuje własny projekt związany z treścią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Drgania i fale </w:t>
            </w:r>
            <w:r>
              <w:rPr>
                <w:kern w:val="0"/>
                <w:sz w:val="17"/>
                <w:szCs w:val="17"/>
                <w:lang w:val="en-US"/>
              </w:rPr>
              <w:t>(inny niż opisany w podręczniku)</w:t>
            </w:r>
          </w:p>
        </w:tc>
      </w:tr>
      <w:tr>
        <w:trPr/>
        <w:tc>
          <w:tcPr>
            <w:tcW w:w="13947" w:type="dxa"/>
            <w:gridSpan w:val="4"/>
            <w:tcBorders>
              <w:top w:val="single" w:sz="6" w:space="0" w:color="C4C4C4"/>
              <w:left w:val="single" w:sz="4" w:space="0" w:color="C4C4C4"/>
              <w:bottom w:val="single" w:sz="6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40" w:after="4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kern w:val="0"/>
                <w:sz w:val="17"/>
                <w:szCs w:val="17"/>
                <w:lang w:val="en-US"/>
              </w:rPr>
              <w:t>V. OPTYKA</w:t>
            </w:r>
          </w:p>
        </w:tc>
      </w:tr>
      <w:tr>
        <w:trPr/>
        <w:tc>
          <w:tcPr>
            <w:tcW w:w="3300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lineRule="atLeast" w:line="208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atLeast" w:line="208" w:before="0" w:after="20"/>
              <w:ind w:left="170" w:hanging="170"/>
              <w:jc w:val="both"/>
              <w:rPr>
                <w:spacing w:val="-4"/>
                <w:sz w:val="17"/>
                <w:szCs w:val="17"/>
                <w:lang w:val="pl-PL"/>
              </w:rPr>
            </w:pPr>
            <w:r>
              <w:rPr>
                <w:spacing w:val="-4"/>
                <w:kern w:val="0"/>
                <w:sz w:val="17"/>
                <w:szCs w:val="17"/>
                <w:lang w:val="pl-PL"/>
              </w:rPr>
              <w:t>wymienia źródła światła; posługuje się pojęciami: promień świetlny, wiązka światła, ośrodek optyczny, ośrodek optycznie jednorodny; rozróżnia rodzaje źródeł światła (naturalne i sztuczne) oraz rodzaje wiązek światła (zbieżna, równoległa i rozbieżna)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atLeast" w:line="20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ilustruje prostoliniowe rozchodzenie się światła w ośrodku jednorodnym; podaje przykłady prostoliniowego biegu promieni światła w ota- 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atLeast" w:line="20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mechanizm powstawania cienia i półcienia jako konsekwencje prostoliniowego rozchodzenia się światła w ośrodku jednorodnym; podaje przykłady powstawania cienia i półcienia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atLeast" w:line="20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porównuje zjawiska odbicia i rozproszenia światła; podaje przykłady odbicia i rozproszenia światła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atLeast" w:line="20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rozróżnia zwierciadła płaskie i sferyczne (wklęsłe i wypukłe); podaje przykłady zwierciadeł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atLeast" w:line="20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pojęciami osi optycznej i promienia krzywizny zwierciadła; wymienia cechy obrazów wytworzo-nych przez zwierciadła (pozorne lub rzeczywiste, proste lub odwrócone, powiększone, pomniejszone lub tej samej wielkości co przedmiot)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atLeast" w:line="20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rozróżnia obrazy: rzeczywisty, pozor-ny, prosty, odwrócony, powiększony, pomniejszony, tej samej wielkości co przedmiot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światło lasera jako jedno-barwne i ilustruje to brakiem rozszcze-pienia w pryzmacie; porównuje przejście światła jednobarwnego i światła białego przez pryzmat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exact" w:line="21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rozróżnia rodzaje soczewek (skupiające i rozpraszające); posługuje się pojęciem osi optycz- nej soczewki; rozróżnia symbole soczewki skupiającej i rozpraszającej; podaje przykłady soczewek w otaczającej rzeczywistości oraz przykłady ich wykorzystania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223" w:leader="none"/>
              </w:tabs>
              <w:spacing w:lineRule="exact" w:line="210" w:before="0" w:after="20"/>
              <w:ind w:left="17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opisuje bieg promieni ilustrujący powstawanie obrazów rzeczy-wistych i pozornych wytwarzanych przez soczewki, znając położenie ogniska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3" w:leader="none"/>
              </w:tabs>
              <w:spacing w:lineRule="exact" w:line="210" w:before="0" w:after="20"/>
              <w:ind w:left="17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posługuje się pojęciem powię-kszenia obrazu jako ilorazu wysokości obrazu i wysokości przedmiotu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3" w:leader="none"/>
              </w:tabs>
              <w:spacing w:lineRule="exact" w:line="210" w:before="0" w:after="20"/>
              <w:ind w:left="170" w:hanging="170"/>
              <w:jc w:val="both"/>
              <w:rPr>
                <w:spacing w:val="2"/>
                <w:sz w:val="17"/>
                <w:szCs w:val="17"/>
              </w:rPr>
            </w:pPr>
            <w:r>
              <w:rPr>
                <w:spacing w:val="2"/>
                <w:kern w:val="0"/>
                <w:sz w:val="17"/>
                <w:szCs w:val="17"/>
                <w:lang w:val="en-US"/>
              </w:rPr>
              <w:t>przeprowadza doświadczenia: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08"/>
                <w:tab w:val="left" w:pos="393" w:leader="none"/>
              </w:tabs>
              <w:spacing w:lineRule="exact" w:line="210" w:before="0" w:after="20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obserwuje bieg promieni światła i wykazuje przekazywanie energii przez światło,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08"/>
                <w:tab w:val="left" w:pos="393" w:leader="none"/>
              </w:tabs>
              <w:spacing w:lineRule="exact" w:line="210" w:before="0" w:after="20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obserwuje powstawanie obszarów cienia i półcienia,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08"/>
                <w:tab w:val="left" w:pos="393" w:leader="none"/>
              </w:tabs>
              <w:spacing w:lineRule="exact" w:line="210" w:before="0" w:after="20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bada zjawiska odbicia i rozpro-szenia światła,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08"/>
                <w:tab w:val="left" w:pos="393" w:leader="none"/>
              </w:tabs>
              <w:spacing w:lineRule="exact" w:line="210" w:before="0" w:after="20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obserwuje obrazy wytwarzane przez zwierciadło płaskie, obserwuje obrazy wytwarzane przez zwierciadła sferyczne,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08"/>
                <w:tab w:val="left" w:pos="393" w:leader="none"/>
              </w:tabs>
              <w:spacing w:lineRule="exact" w:line="210" w:before="0" w:after="20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obserwuje bieg promienia światła po przejściu do innego ośrodka w zależności od kąta padania oraz przejście światła jedno-barwnego i światła białego przez pryzmat,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08"/>
                <w:tab w:val="left" w:pos="393" w:leader="none"/>
              </w:tabs>
              <w:spacing w:lineRule="exact" w:line="210" w:before="0" w:after="20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obserwuje bieg promieni równoległych do osi optycznej przechodzących przez soczewki skupiającą i rozpraszającą,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08"/>
                <w:tab w:val="left" w:pos="393" w:leader="none"/>
              </w:tabs>
              <w:spacing w:lineRule="exact" w:line="210" w:before="0" w:after="20"/>
              <w:ind w:left="340" w:hanging="170"/>
              <w:jc w:val="both"/>
              <w:rPr>
                <w:spacing w:val="2"/>
                <w:sz w:val="17"/>
                <w:szCs w:val="17"/>
                <w:lang w:val="pl-PL"/>
              </w:rPr>
            </w:pPr>
            <w:r>
              <w:rPr>
                <w:spacing w:val="2"/>
                <w:kern w:val="0"/>
                <w:sz w:val="17"/>
                <w:szCs w:val="17"/>
                <w:lang w:val="pl-PL"/>
              </w:rPr>
              <w:t>obserwuje obrazy wytwarzane przez soczewki skupiające,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3" w:leader="none"/>
              </w:tabs>
              <w:spacing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korzystając z ich opisu i przestrzegając zasad bezpie-czeństwa; opisuje przebieg doświad- czenia (wskazuje rolę użytych przyrządów oraz czynniki istotne i nieistotne dla wyników doświad-czeń); formułuje wnioski na podstawie wyników doświadczenia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wyodrębnia z tekstów, tabel i ilu-stracji informacje kluczowe dla opisywanego zjawiska lub problemu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współpracuje w zespole podczas przeprowadzania obserwacji i doświadczeń, przestrzegając zasad bezpieczeństwa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(bardzo łatwe) zadania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Optyka</w:t>
            </w:r>
          </w:p>
        </w:tc>
        <w:tc>
          <w:tcPr>
            <w:tcW w:w="3865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rozchodzenie się światła w ośrodku jednorodnym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światło jako rodzaj fal elektromagnetycznych; podaje przedział długości fal świetlnych oraz przybliżoną wartość prędkości światła w próżni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przedstawia na schematycznym rysunku powstawanie cienia i półcienia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zjawiska zaćmienia Słońca i Księżyca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pojęciami: kąta padania, kąta odbicia i normalnej do opisu zjawiska odbicia światła od powierzchni płaskiej; opisuje związek między kątem padania a kątem odbicia; podaje i stosuje prawo odbicia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zjawisko odbicia światła od powierzchni chropowatej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analizuje bieg promieni wychodzących z punktu w różnych kierunkach, a następnie odbitych od zwierciadła płaskiego i zwierciadeł sferycznych; opisuje i ilustruje zjawisko odbicia od powierzchni sferycznej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pacing w:val="-2"/>
                <w:sz w:val="17"/>
                <w:szCs w:val="17"/>
                <w:lang w:val="pl-PL"/>
              </w:rPr>
            </w:pPr>
            <w:r>
              <w:rPr>
                <w:spacing w:val="-2"/>
                <w:kern w:val="0"/>
                <w:sz w:val="17"/>
                <w:szCs w:val="17"/>
                <w:lang w:val="pl-PL"/>
              </w:rPr>
              <w:t>opisuje i konstruuje graficznie bieg promieni ilustrujący powstawanie obrazów pozornych wytwarzanych przez zwierciadło płaskie; wymienia trzy cechy obrazu (pozorny, prosty i tej samej wielkości co przedmiot); wyjaśnia, kiedy obraz jest rzeczywisty, a kiedy – pozorny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skupianie się promieni w zwierciadle wklęsłym; posługuje się pojęciami ogniska i ogniskowej zwierciadła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podaje przykłady wykorzystania zwierciadeł w otaczającej rzeczywistości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i konstruuje graficznie bieg promieni ilustrujący powstawanie obrazów rzeczy-wistych i pozornych wytwarzanych przez zwierciadła sferyczne, znając położenie ogniska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obrazy wytwarzane przez zwierciadła sferyczne (podaje trzy cechy obrazu)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pojęciem powiększenia obrazu jako ilorazu wysokości obrazu i wysokości przedmiotu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jakościowo zjawisko załamania światła na granicy dwóch ośrodków różniących się prędkością rozchodzenia się światła; wskazuje kierunek załamania; posługuje się pojęciem kąta załamania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podaje i stosuje prawo załamania światła (jakościowo)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światło białe jako mieszaninę barw; ilustruje to rozszczepieniem światła w pryzmacie; podaje inne przykłady rozszczepienia światła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i ilustruje bieg promieni równoległych do osi optycznej przechodzących przez soczewki skupiającą i rozpraszającą, posługując się pojęciami ogniska i ogni- skowej; rozróżnia ogniska rzeczywiste i pozorne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wyjaśnia i stosuje odwracalność biegu promieni świetlnych (stwierdza np., że promienie wychodzące z ogniska po załamaniu w soczewce skupiającej tworzą wiązkę promieni równoległych do osi optycznej)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rysuje konstrukcyjnie obrazy wytworzone przez soczewki; rozróżnia obrazy: rzeczywiste, pozorne, proste, odwrócone; porównuje wielkość przedmiotu z wielkością obrazu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20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obrazy wytworzone przez soczewki (wymienia trzy cechy obrazu); określa rodzaj obrazu w zależności od odległości przedmiotu od soczewki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opisuje budowę oka oraz powstawanie obrazu na siatkówce, korzystając ze schematycznego rysunku przedstawia-jącego budowę oka; posługuje się pojęciem akomodacji oka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posługuje się pojęciami krótkowzroczności i dalekowzroczności; opisuje rolę soczewek w korygowaniu tych wad wzroku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przeprowadza doświadczenia: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zjawisko prostoliniowego rozchodzenia się światła,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skupia równoległą wiązką światła za pomocą zwierciadła wklęsłego i wyznacza jej ognisko,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powstawanie obrazów za pomocą zwier ciadeł sferycznych,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zjawisko załamania światła na granicy ośrodków,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rozszczepienie światła w pryzmacie,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demonstruje powstawanie obrazów za pomocą soczewek,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34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otrzymuje za pomocą soczewki skupiają-cej ostre obrazy przedmiotu na ekranie,</w:t>
            </w:r>
          </w:p>
          <w:p>
            <w:pPr>
              <w:pStyle w:val="TableParagraph"/>
              <w:widowControl w:val="false"/>
              <w:tabs>
                <w:tab w:val="clear" w:pos="708"/>
                <w:tab w:val="left" w:pos="393" w:leader="none"/>
              </w:tabs>
              <w:spacing w:lineRule="exact" w:line="206" w:before="0" w:after="20"/>
              <w:ind w:left="170" w:hanging="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przestrzegając zasad bezpieczeństwa; wskazuje rolę użytych przyrządów oraz czynniki istotne i nieistotne dla wyników doświadczeń; formułuje wnioski na podstawie tych wyników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23" w:leader="none"/>
              </w:tabs>
              <w:spacing w:lineRule="exact" w:line="206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proste zadania (lub problemy)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Optyka</w:t>
            </w:r>
          </w:p>
        </w:tc>
        <w:tc>
          <w:tcPr>
            <w:tcW w:w="3717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2" w:leader="none"/>
              </w:tabs>
              <w:spacing w:before="0" w:after="0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pl-PL"/>
              </w:rPr>
              <w:t>wskazuje prędkość światła jako maksymalną prędkość przepływu informacji; porównuje wartości prędkości światła w różnych ośrodkach przezroczystych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before="0" w:after="0"/>
              <w:ind w:left="170" w:hanging="170"/>
              <w:jc w:val="both"/>
              <w:rPr>
                <w:spacing w:val="4"/>
                <w:sz w:val="17"/>
                <w:szCs w:val="17"/>
                <w:lang w:val="pl-PL"/>
              </w:rPr>
            </w:pPr>
            <w:r>
              <w:rPr>
                <w:spacing w:val="4"/>
                <w:kern w:val="0"/>
                <w:sz w:val="17"/>
                <w:szCs w:val="17"/>
                <w:lang w:val="pl-PL"/>
              </w:rPr>
              <w:t>wyjaśnia mechanizm zjawisk zaćmienia Słońca i Księżyca, korzystając ze schematycznych rysunków przedsta-wiających te zjawiska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lineRule="exact" w:line="21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projektuje i przeprowadza doświadczenie potwierdzające równość kątów padania i odbicia; wskazuje czynniki istotne i nieistotne dla wyników doświadczenia; prezentuje i krytycznie ocenia wyniki doświadczenia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lineRule="exact" w:line="21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analizuje bieg promieni odbitych od zwierciadła wypukłego; posługuje się pojęciem ogniska pozornego zwierciadła wypukłego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>podaje i stosuje związek ogniskowej z promieniem krzywizny (w przybliżeniu</w:t>
              <w:br/>
              <w:t xml:space="preserve">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f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r>
                    <w:rPr>
                      <w:rFonts w:ascii="Cambria Math" w:hAnsi="Cambria Math"/>
                    </w:rPr>
                    <m:t xml:space="preserve">1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2</m:t>
                  </m:r>
                </m:den>
              </m:f>
              <m:r>
                <w:rPr>
                  <w:rFonts w:ascii="Cambria Math" w:hAnsi="Cambria Math"/>
                </w:rPr>
                <m:t xml:space="preserve">∙</m:t>
              </m:r>
              <m:r>
                <w:rPr>
                  <w:rFonts w:ascii="Cambria Math" w:hAnsi="Cambria Math"/>
                </w:rPr>
                <m:t xml:space="preserve">r</m:t>
              </m:r>
            </m:oMath>
            <w:r>
              <w:rPr>
                <w:kern w:val="0"/>
                <w:sz w:val="17"/>
                <w:szCs w:val="17"/>
                <w:lang w:val="en-US"/>
              </w:rPr>
              <w:t>); wyjaśnia i stosuje odwracalność biegu promieni świetlnych (stwierdza np., że promienie wychodzące z ogniska po odbiciu od zwierciadła tworzą wiązkę promieni równoległych do osi optycznej)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lineRule="exact" w:line="21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przewiduje rodzaj i położenie obrazu wytwarzanego przez zwierciadła sferyczne w zależności od odległości przedmiotu od zwierciadła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rFonts w:ascii="Cambria Math" w:hAnsi="Cambria Math"/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pojęciem powiększenia obrazu jako ilorazu odległości obrazu od zwierciadła i odległości przedmiotu od zwierciadła; podaje i stosuje wzory na powiększenie obrazu (np.: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p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sSub>
                    <m:e>
                      <m:r>
                        <w:rPr>
                          <w:rFonts w:ascii="Cambria Math" w:hAnsi="Cambria Math"/>
                        </w:rPr>
                        <m:t xml:space="preserve"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 xml:space="preserve">2</m:t>
                      </m:r>
                    </m:sub>
                  </m:sSub>
                </m:num>
                <m:den>
                  <m:sSub>
                    <m:e>
                      <m:r>
                        <w:rPr>
                          <w:rFonts w:ascii="Cambria Math" w:hAnsi="Cambria Math"/>
                        </w:rPr>
                        <m:t xml:space="preserve"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 xml:space="preserve">1</m:t>
                      </m:r>
                    </m:sub>
                  </m:sSub>
                </m:den>
              </m:f>
            </m:oMath>
            <w:r>
              <w:rPr>
                <w:kern w:val="0"/>
                <w:sz w:val="17"/>
                <w:szCs w:val="17"/>
                <w:lang w:val="en-US"/>
              </w:rPr>
              <w:t xml:space="preserve"> i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p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r>
                    <w:rPr>
                      <w:rFonts w:ascii="Cambria Math" w:hAnsi="Cambria Math"/>
                    </w:rPr>
                    <m:t xml:space="preserve">y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x</m:t>
                  </m:r>
                </m:den>
              </m:f>
            </m:oMath>
            <w:r>
              <w:rPr>
                <w:kern w:val="0"/>
                <w:sz w:val="17"/>
                <w:szCs w:val="17"/>
                <w:lang w:val="en-US"/>
              </w:rPr>
              <w:t>)</w:t>
            </w:r>
            <w:r>
              <w:rPr>
                <w:i/>
                <w:kern w:val="0"/>
                <w:sz w:val="17"/>
                <w:szCs w:val="17"/>
                <w:lang w:val="en-US"/>
              </w:rPr>
              <w:t>;</w:t>
            </w:r>
            <w:r>
              <w:rPr>
                <w:kern w:val="0"/>
                <w:sz w:val="17"/>
                <w:szCs w:val="17"/>
                <w:lang w:val="en-US"/>
              </w:rPr>
              <w:t xml:space="preserve"> wyjaśnia, kiedy: </w:t>
            </w:r>
            <w:r>
              <w:rPr>
                <w:rFonts w:ascii="Cambria Math" w:hAnsi="Cambria Math"/>
                <w:i/>
                <w:kern w:val="0"/>
                <w:sz w:val="17"/>
                <w:szCs w:val="17"/>
                <w:lang w:val="en-US"/>
              </w:rPr>
              <w:t xml:space="preserve">p 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 xml:space="preserve">&lt; 1, </w:t>
            </w:r>
            <w:r>
              <w:rPr>
                <w:rFonts w:ascii="Cambria Math" w:hAnsi="Cambria Math"/>
                <w:i/>
                <w:kern w:val="0"/>
                <w:sz w:val="17"/>
                <w:szCs w:val="17"/>
                <w:lang w:val="en-US"/>
              </w:rPr>
              <w:t xml:space="preserve">p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 xml:space="preserve">= 1, </w:t>
            </w:r>
            <w:r>
              <w:rPr>
                <w:rFonts w:ascii="Cambria Math" w:hAnsi="Cambria Math"/>
                <w:i/>
                <w:kern w:val="0"/>
                <w:sz w:val="17"/>
                <w:szCs w:val="17"/>
                <w:lang w:val="en-US"/>
              </w:rPr>
              <w:t xml:space="preserve">p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&gt; 1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lineRule="exact" w:line="218"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wyjaśnia mechanizm rozszczepienia światła w pryzmacie, posługując się związkiem między prędkością światła a długością fali świetlnej w różnych ośrodkach i odwołując się do widma światła białego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lineRule="exact" w:line="218"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opisuje zjawisko powstawania tęczy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lineRule="exact" w:line="218" w:before="0" w:after="20"/>
              <w:ind w:left="170" w:hanging="170"/>
              <w:jc w:val="both"/>
              <w:rPr>
                <w:spacing w:val="-4"/>
                <w:sz w:val="17"/>
                <w:szCs w:val="17"/>
                <w:lang w:val="pl-PL"/>
              </w:rPr>
            </w:pPr>
            <w:r>
              <w:rPr>
                <w:spacing w:val="-4"/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spacing w:val="-4"/>
                <w:kern w:val="0"/>
                <w:sz w:val="17"/>
                <w:szCs w:val="17"/>
                <w:lang w:val="en-US"/>
              </w:rPr>
              <w:t>posługuje się pojęciem zdolności sku-piającej soczewki wraz z jej jednostką (</w:t>
            </w:r>
            <w:r>
              <w:rPr>
                <w:rFonts w:ascii="Cambria Math" w:hAnsi="Cambria Math"/>
                <w:spacing w:val="-4"/>
                <w:kern w:val="0"/>
                <w:sz w:val="17"/>
                <w:szCs w:val="17"/>
                <w:lang w:val="en-US"/>
              </w:rPr>
              <w:t>1 D</w:t>
            </w:r>
            <w:r>
              <w:rPr>
                <w:spacing w:val="-4"/>
                <w:kern w:val="0"/>
                <w:sz w:val="17"/>
                <w:szCs w:val="17"/>
                <w:lang w:val="en-US"/>
              </w:rPr>
              <w:t>)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08"/>
                <w:tab w:val="left" w:pos="223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pojęciem powiększenia obrazu jako ilorazu odległości obrazu od soczewki i odległości przedmiotu od soczewki; podaje i stosuje wzory na powiększenie obrazu (np.: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p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sSub>
                    <m:e>
                      <m:r>
                        <w:rPr>
                          <w:rFonts w:ascii="Cambria Math" w:hAnsi="Cambria Math"/>
                        </w:rPr>
                        <m:t xml:space="preserve"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 xml:space="preserve">2</m:t>
                      </m:r>
                    </m:sub>
                  </m:sSub>
                </m:num>
                <m:den>
                  <m:sSub>
                    <m:e>
                      <m:r>
                        <w:rPr>
                          <w:rFonts w:ascii="Cambria Math" w:hAnsi="Cambria Math"/>
                        </w:rPr>
                        <m:t xml:space="preserve">h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 xml:space="preserve">1</m:t>
                      </m:r>
                    </m:sub>
                  </m:sSub>
                </m:den>
              </m:f>
            </m:oMath>
            <w:r>
              <w:rPr>
                <w:kern w:val="0"/>
                <w:sz w:val="17"/>
                <w:szCs w:val="17"/>
                <w:lang w:val="en-US"/>
              </w:rPr>
              <w:t xml:space="preserve"> i </w:t>
            </w:r>
            <w:r>
              <w:rPr>
                <w:kern w:val="0"/>
                <w:sz w:val="22"/>
                <w:szCs w:val="22"/>
                <w:lang w:val="en-US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p</m:t>
              </m:r>
              <m:r>
                <w:rPr>
                  <w:rFonts w:ascii="Cambria Math" w:hAnsi="Cambria Math"/>
                </w:rPr>
                <m:t xml:space="preserve">=</m:t>
              </m:r>
              <m:f>
                <m:num>
                  <m:r>
                    <w:rPr>
                      <w:rFonts w:ascii="Cambria Math" w:hAnsi="Cambria Math"/>
                    </w:rPr>
                    <m:t xml:space="preserve">y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x</m:t>
                  </m:r>
                </m:den>
              </m:f>
            </m:oMath>
            <w:r>
              <w:rPr>
                <w:kern w:val="0"/>
                <w:sz w:val="17"/>
                <w:szCs w:val="17"/>
                <w:lang w:val="en-US"/>
              </w:rPr>
              <w:t>)</w:t>
            </w:r>
            <w:r>
              <w:rPr>
                <w:i/>
                <w:kern w:val="0"/>
                <w:sz w:val="17"/>
                <w:szCs w:val="17"/>
                <w:lang w:val="en-US"/>
              </w:rPr>
              <w:t>;</w:t>
            </w:r>
            <w:r>
              <w:rPr>
                <w:kern w:val="0"/>
                <w:sz w:val="17"/>
                <w:szCs w:val="17"/>
                <w:lang w:val="en-US"/>
              </w:rPr>
              <w:t xml:space="preserve">  stwierdza, kiedy: </w:t>
            </w:r>
            <w:r>
              <w:rPr>
                <w:rFonts w:ascii="Cambria Math" w:hAnsi="Cambria Math"/>
                <w:i/>
                <w:kern w:val="0"/>
                <w:sz w:val="17"/>
                <w:szCs w:val="17"/>
                <w:lang w:val="en-US"/>
              </w:rPr>
              <w:t xml:space="preserve">p 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 xml:space="preserve">&lt; 1, </w:t>
            </w:r>
            <w:r>
              <w:rPr>
                <w:rFonts w:ascii="Cambria Math" w:hAnsi="Cambria Math"/>
                <w:i/>
                <w:kern w:val="0"/>
                <w:sz w:val="17"/>
                <w:szCs w:val="17"/>
                <w:lang w:val="en-US"/>
              </w:rPr>
              <w:t xml:space="preserve">p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 xml:space="preserve">= 1, </w:t>
            </w:r>
            <w:r>
              <w:rPr>
                <w:rFonts w:ascii="Cambria Math" w:hAnsi="Cambria Math"/>
                <w:i/>
                <w:kern w:val="0"/>
                <w:sz w:val="17"/>
                <w:szCs w:val="17"/>
                <w:lang w:val="en-US"/>
              </w:rPr>
              <w:t xml:space="preserve">p </w:t>
            </w:r>
            <w:r>
              <w:rPr>
                <w:rFonts w:ascii="Cambria Math" w:hAnsi="Cambria Math"/>
                <w:kern w:val="0"/>
                <w:sz w:val="17"/>
                <w:szCs w:val="17"/>
                <w:lang w:val="en-US"/>
              </w:rPr>
              <w:t>&gt; 1</w:t>
            </w:r>
            <w:r>
              <w:rPr>
                <w:kern w:val="0"/>
                <w:sz w:val="17"/>
                <w:szCs w:val="17"/>
                <w:lang w:val="en-US"/>
              </w:rPr>
              <w:t>; porównuje obrazy w zależności od odległości przedmiotu od soczewki skupiającej i rodzaju soczewki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pl-PL"/>
              </w:rPr>
              <w:t>przewiduje rodzaj i położenie obrazu wy- tworzonego przez soczewki w zależności od odległości przedmiotu od soczewki, znając położenie ogniska (i odwrotnie)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kern w:val="0"/>
                <w:sz w:val="17"/>
                <w:szCs w:val="17"/>
                <w:lang w:val="en-US"/>
              </w:rPr>
              <w:t>posługuje się pojęciami astygmatyzmu i daltonizmu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(lub problemy) bardziej złożone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Optyka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posługuje się informacjami pochodzącymi z analizy przeczytanych tekstów (w tym popularnonaukowych) dotyczących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Optyka </w:t>
            </w:r>
            <w:r>
              <w:rPr>
                <w:kern w:val="0"/>
                <w:sz w:val="17"/>
                <w:szCs w:val="17"/>
                <w:lang w:val="en-US"/>
              </w:rPr>
              <w:t xml:space="preserve">(w tym tekstu: </w:t>
            </w:r>
            <w:r>
              <w:rPr>
                <w:i/>
                <w:kern w:val="0"/>
                <w:sz w:val="17"/>
                <w:szCs w:val="17"/>
                <w:lang w:val="en-US"/>
              </w:rPr>
              <w:t xml:space="preserve">Zastosowanie prawa odbicia i prawa załamania światła </w:t>
            </w:r>
            <w:r>
              <w:rPr>
                <w:kern w:val="0"/>
                <w:sz w:val="17"/>
                <w:szCs w:val="17"/>
                <w:lang w:val="en-US"/>
              </w:rPr>
              <w:t>zamieszczonego w podręczniku)</w:t>
            </w:r>
          </w:p>
        </w:tc>
        <w:tc>
          <w:tcPr>
            <w:tcW w:w="3065" w:type="dxa"/>
            <w:tcBorders>
              <w:top w:val="single" w:sz="6" w:space="0" w:color="C4C4C4"/>
              <w:left w:val="single" w:sz="4" w:space="0" w:color="C4C4C4"/>
              <w:bottom w:val="single" w:sz="4" w:space="0" w:color="C4C4C4"/>
              <w:right w:val="single" w:sz="4" w:space="0" w:color="C4C4C4"/>
            </w:tcBorders>
            <w:shd w:color="auto" w:fill="FDFAF1" w:val="clear"/>
          </w:tcPr>
          <w:p>
            <w:pPr>
              <w:pStyle w:val="TableParagraph"/>
              <w:widowControl w:val="false"/>
              <w:spacing w:before="0" w:after="20"/>
              <w:ind w:left="170" w:hanging="170"/>
              <w:jc w:val="both"/>
              <w:rPr>
                <w:sz w:val="17"/>
                <w:szCs w:val="17"/>
              </w:rPr>
            </w:pPr>
            <w:r>
              <w:rPr>
                <w:kern w:val="0"/>
                <w:sz w:val="17"/>
                <w:szCs w:val="17"/>
                <w:lang w:val="en-US"/>
              </w:rPr>
              <w:t>Uczeń: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25" w:leader="none"/>
              </w:tabs>
              <w:spacing w:lineRule="exact" w:line="190" w:before="0" w:after="20"/>
              <w:ind w:left="170" w:hanging="170"/>
              <w:jc w:val="both"/>
              <w:rPr>
                <w:spacing w:val="-8"/>
                <w:sz w:val="17"/>
                <w:szCs w:val="17"/>
                <w:lang w:val="pl-PL"/>
              </w:rPr>
            </w:pPr>
            <w:r>
              <w:rPr>
                <w:spacing w:val="-8"/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spacing w:val="-8"/>
                <w:kern w:val="0"/>
                <w:sz w:val="17"/>
                <w:szCs w:val="17"/>
                <w:lang w:val="en-US"/>
              </w:rPr>
              <w:t>opisuje zagadkowe zjawiska opty-czne występujące w przyrodzie (np. miraże, błękit nieba, widmo Brockenu, halo)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25" w:leader="none"/>
              </w:tabs>
              <w:spacing w:lineRule="exact" w:line="190" w:before="0" w:after="20"/>
              <w:ind w:left="170" w:hanging="170"/>
              <w:jc w:val="both"/>
              <w:rPr>
                <w:spacing w:val="-8"/>
                <w:sz w:val="17"/>
                <w:szCs w:val="17"/>
                <w:lang w:val="pl-PL"/>
              </w:rPr>
            </w:pPr>
            <w:r>
              <w:rPr>
                <w:spacing w:val="-8"/>
                <w:kern w:val="0"/>
                <w:position w:val="5"/>
                <w:sz w:val="12"/>
                <w:szCs w:val="17"/>
                <w:lang w:val="en-US"/>
              </w:rPr>
              <w:t>R</w:t>
            </w:r>
            <w:r>
              <w:rPr>
                <w:spacing w:val="-8"/>
                <w:kern w:val="0"/>
                <w:sz w:val="17"/>
                <w:szCs w:val="17"/>
                <w:lang w:val="en-US"/>
              </w:rPr>
              <w:t>opisuje wykorzystanie zwierciadeł i soczewek w przyrządach opty-cznych (np. mikroskopie, lunecie)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rozwiązuje zadania złożone, nietypowe (lub problemy), dotyczące treści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Optyka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25" w:leader="none"/>
              </w:tabs>
              <w:spacing w:before="0" w:after="20"/>
              <w:ind w:left="170" w:hanging="170"/>
              <w:jc w:val="both"/>
              <w:rPr>
                <w:i/>
                <w:i/>
                <w:sz w:val="17"/>
                <w:szCs w:val="17"/>
                <w:lang w:val="pl-PL"/>
              </w:rPr>
            </w:pPr>
            <w:r>
              <w:rPr>
                <w:kern w:val="0"/>
                <w:sz w:val="17"/>
                <w:szCs w:val="17"/>
                <w:lang w:val="en-US"/>
              </w:rPr>
              <w:t xml:space="preserve">realizuje własny projekt związany z treścią rozdziału </w:t>
            </w:r>
            <w:r>
              <w:rPr>
                <w:i/>
                <w:kern w:val="0"/>
                <w:sz w:val="17"/>
                <w:szCs w:val="17"/>
                <w:lang w:val="en-US"/>
              </w:rPr>
              <w:t>Optyka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40" w:right="1440" w:gutter="0" w:header="708" w:top="1440" w:footer="708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ekstglowny"/>
        <w:rPr>
          <w:rFonts w:ascii="Times New Roman" w:hAnsi="Times New Roman" w:cs="Times New Roman"/>
          <w:sz w:val="20"/>
          <w:szCs w:val="20"/>
        </w:rPr>
      </w:pPr>
      <w:r>
        <w:rPr/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orient="landscape" w:w="16838" w:h="11906"/>
      <w:pgMar w:left="850" w:right="992" w:gutter="0" w:header="708" w:top="850" w:footer="708" w:bottom="964"/>
      <w:pgNumType w:fmt="decimal"/>
      <w:formProt w:val="false"/>
      <w:textDirection w:val="lrTb"/>
      <w:docGrid w:type="default" w:linePitch="326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entury Gothic">
    <w:charset w:val="ee"/>
    <w:family w:val="roman"/>
    <w:pitch w:val="variable"/>
  </w:font>
  <w:font w:name="HelveticaNeueLT Pro 55 Roman">
    <w:charset w:val="ee"/>
    <w:family w:val="roman"/>
    <w:pitch w:val="variable"/>
  </w:font>
  <w:font w:name="Calibri Light">
    <w:charset w:val="ee"/>
    <w:family w:val="roman"/>
    <w:pitch w:val="variable"/>
  </w:font>
  <w:font w:name="HelveticaNeueLT Pro 65 Md">
    <w:charset w:val="ee"/>
    <w:family w:val="roman"/>
    <w:pitch w:val="variable"/>
  </w:font>
  <w:font w:name="Times New Roman">
    <w:charset w:val="ee"/>
    <w:family w:val="roman"/>
    <w:pitch w:val="variable"/>
  </w:font>
  <w:font w:name="Century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ill Sans MT">
    <w:charset w:val="ee"/>
    <w:family w:val="roman"/>
    <w:pitch w:val="variable"/>
  </w:font>
  <w:font w:name="Humanst521EUBold">
    <w:charset w:val="ee"/>
    <w:family w:val="roman"/>
    <w:pitch w:val="variable"/>
  </w:font>
  <w:font w:name="CentSchbookEU-Normal">
    <w:charset w:val="ee"/>
    <w:family w:val="roman"/>
    <w:pitch w:val="variable"/>
  </w:font>
  <w:font w:name="CentSchbookEU-Bold">
    <w:charset w:val="ee"/>
    <w:family w:val="roman"/>
    <w:pitch w:val="variable"/>
  </w:font>
  <w:font w:name="Cambria Math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Century Gothic">
    <w:charset w:val="01"/>
    <w:family w:val="swiss"/>
    <w:pitch w:val="variable"/>
  </w:font>
  <w:font w:name="Symbol">
    <w:charset w:val="02"/>
    <w:family w:val="auto"/>
    <w:pitch w:val="default"/>
  </w:font>
  <w:font w:name="Century">
    <w:charset w:val="01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Sc"/>
      <w:rPr>
        <w:lang w:val="pl-PL"/>
      </w:rPr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Sc"/>
      <w:rPr>
        <w:lang w:val="pl-PL"/>
      </w:rPr>
    </w:pPr>
    <w:r>
      <w:rPr/>
    </w:r>
  </w:p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9pt;height:9pt" o:bullet="t">
        <v:imagedata r:id="rId1" o:title=""/>
      </v:shape>
    </w:pict>
  </w:numPicBullet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7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4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1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8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6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4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7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−"/>
      <w:lvlJc w:val="left"/>
      <w:pPr>
        <w:tabs>
          <w:tab w:val="num" w:pos="0"/>
        </w:tabs>
        <w:ind w:left="392" w:hanging="170"/>
      </w:pPr>
      <w:rPr>
        <w:rFonts w:ascii="Century Gothic" w:hAnsi="Century Gothic" w:cs="Century Gothic" w:hint="default"/>
        <w:sz w:val="17"/>
        <w:szCs w:val="17"/>
        <w:w w:val="137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16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33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49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66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83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99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316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4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−"/>
      <w:lvlJc w:val="left"/>
      <w:pPr>
        <w:tabs>
          <w:tab w:val="num" w:pos="0"/>
        </w:tabs>
        <w:ind w:left="392" w:hanging="171"/>
      </w:pPr>
      <w:rPr>
        <w:rFonts w:ascii="Century Gothic" w:hAnsi="Century Gothic" w:cs="Century Gothic" w:hint="default"/>
        <w:sz w:val="17"/>
        <w:szCs w:val="17"/>
        <w:w w:val="137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3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95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27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059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91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23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5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75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7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43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99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54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66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222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6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3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7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4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1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8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5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7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12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5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98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90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183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76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968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361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8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6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3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6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3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0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6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3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9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6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3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7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4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1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8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5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0">
    <w:lvl w:ilvl="0">
      <w:numFmt w:val="bullet"/>
      <w:lvlText w:val="•"/>
      <w:lvlJc w:val="left"/>
      <w:pPr>
        <w:tabs>
          <w:tab w:val="num" w:pos="0"/>
        </w:tabs>
        <w:ind w:left="222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12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5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98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90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183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76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968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361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11">
    <w:lvl w:ilvl="0">
      <w:numFmt w:val="bullet"/>
      <w:lvlText w:val="•"/>
      <w:lvlJc w:val="left"/>
      <w:pPr>
        <w:tabs>
          <w:tab w:val="num" w:pos="0"/>
        </w:tabs>
        <w:ind w:left="222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−"/>
      <w:lvlJc w:val="left"/>
      <w:pPr>
        <w:tabs>
          <w:tab w:val="num" w:pos="0"/>
        </w:tabs>
        <w:ind w:left="392" w:hanging="171"/>
      </w:pPr>
      <w:rPr>
        <w:rFonts w:ascii="Century Gothic" w:hAnsi="Century Gothic" w:cs="Century Gothic" w:hint="default"/>
        <w:sz w:val="17"/>
        <w:szCs w:val="17"/>
        <w:w w:val="137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3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95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27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059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91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23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2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75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7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43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99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54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66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3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7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4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1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8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6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4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7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4">
    <w:lvl w:ilvl="0">
      <w:numFmt w:val="bullet"/>
      <w:lvlText w:val="•"/>
      <w:lvlJc w:val="left"/>
      <w:pPr>
        <w:tabs>
          <w:tab w:val="num" w:pos="0"/>
        </w:tabs>
        <w:ind w:left="224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900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928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56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84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012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40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68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096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15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6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3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7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4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1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8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5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6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−"/>
      <w:lvlJc w:val="left"/>
      <w:pPr>
        <w:tabs>
          <w:tab w:val="num" w:pos="0"/>
        </w:tabs>
        <w:ind w:left="2014" w:hanging="171"/>
      </w:pPr>
      <w:rPr>
        <w:rFonts w:ascii="Century Gothic" w:hAnsi="Century Gothic" w:cs="Century Gothic" w:hint="default"/>
        <w:sz w:val="17"/>
        <w:szCs w:val="17"/>
        <w:w w:val="137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2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4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97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729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062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394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27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7">
    <w:lvl w:ilvl="0">
      <w:numFmt w:val="bullet"/>
      <w:lvlText w:val="•"/>
      <w:lvlJc w:val="left"/>
      <w:pPr>
        <w:tabs>
          <w:tab w:val="num" w:pos="0"/>
        </w:tabs>
        <w:ind w:left="222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−"/>
      <w:lvlJc w:val="left"/>
      <w:pPr>
        <w:tabs>
          <w:tab w:val="num" w:pos="0"/>
        </w:tabs>
        <w:ind w:left="392" w:hanging="171"/>
      </w:pPr>
      <w:rPr>
        <w:rFonts w:ascii="Century Gothic" w:hAnsi="Century Gothic" w:cs="Century Gothic" w:hint="default"/>
        <w:sz w:val="17"/>
        <w:szCs w:val="17"/>
        <w:w w:val="137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16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33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49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66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8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99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316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8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6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3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6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3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0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6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3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19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75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7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43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99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54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66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20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7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4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1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8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6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4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7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21">
    <w:lvl w:ilvl="0">
      <w:numFmt w:val="bullet"/>
      <w:lvlText w:val="•"/>
      <w:lvlJc w:val="left"/>
      <w:pPr>
        <w:tabs>
          <w:tab w:val="num" w:pos="0"/>
        </w:tabs>
        <w:ind w:left="224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13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6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99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92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186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79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972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365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22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6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3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0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7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4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1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8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5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23">
    <w:lvl w:ilvl="0">
      <w:numFmt w:val="bullet"/>
      <w:lvlText w:val="•"/>
      <w:lvlJc w:val="left"/>
      <w:pPr>
        <w:tabs>
          <w:tab w:val="num" w:pos="0"/>
        </w:tabs>
        <w:ind w:left="222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12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05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98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91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184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577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970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363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24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75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31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987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43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499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54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1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266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25">
    <w:lvl w:ilvl="0">
      <w:numFmt w:val="bullet"/>
      <w:lvlText w:val="•"/>
      <w:lvlJc w:val="left"/>
      <w:pPr>
        <w:tabs>
          <w:tab w:val="num" w:pos="0"/>
        </w:tabs>
        <w:ind w:left="224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7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4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1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8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6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40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7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26">
    <w:lvl w:ilvl="0">
      <w:numFmt w:val="bullet"/>
      <w:lvlText w:val="•"/>
      <w:lvlJc w:val="left"/>
      <w:pPr>
        <w:tabs>
          <w:tab w:val="num" w:pos="0"/>
        </w:tabs>
        <w:ind w:left="3289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467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883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300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16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33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550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66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383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27">
    <w:lvl w:ilvl="0">
      <w:numFmt w:val="bullet"/>
      <w:lvlText w:val="•"/>
      <w:lvlJc w:val="left"/>
      <w:pPr>
        <w:tabs>
          <w:tab w:val="num" w:pos="0"/>
        </w:tabs>
        <w:ind w:left="222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6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3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6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3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0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36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3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28">
    <w:lvl w:ilvl="0">
      <w:numFmt w:val="bullet"/>
      <w:lvlText w:val="•"/>
      <w:lvlJc w:val="left"/>
      <w:pPr>
        <w:tabs>
          <w:tab w:val="num" w:pos="0"/>
        </w:tabs>
        <w:ind w:left="223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97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74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51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28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05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82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159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436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29">
    <w:lvl w:ilvl="0">
      <w:numFmt w:val="bullet"/>
      <w:lvlText w:val="•"/>
      <w:lvlJc w:val="left"/>
      <w:pPr>
        <w:tabs>
          <w:tab w:val="num" w:pos="0"/>
        </w:tabs>
        <w:ind w:left="223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7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4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1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8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6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3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40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7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30">
    <w:lvl w:ilvl="0">
      <w:numFmt w:val="bullet"/>
      <w:lvlText w:val="•"/>
      <w:lvlJc w:val="left"/>
      <w:pPr>
        <w:tabs>
          <w:tab w:val="num" w:pos="0"/>
        </w:tabs>
        <w:ind w:left="187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61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31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02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73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4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14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84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31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7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54" w:hanging="170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1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8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6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3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40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7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32">
    <w:lvl w:ilvl="0">
      <w:numFmt w:val="bullet"/>
      <w:lvlText w:val="•"/>
      <w:lvlJc w:val="left"/>
      <w:pPr>
        <w:tabs>
          <w:tab w:val="num" w:pos="0"/>
        </w:tabs>
        <w:ind w:left="537" w:hanging="227"/>
      </w:pPr>
      <w:rPr>
        <w:rFonts w:ascii="Century" w:hAnsi="Century" w:cs="Century" w:hint="default"/>
        <w:sz w:val="18"/>
        <w:szCs w:val="18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07" w:hanging="227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274" w:hanging="227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641" w:hanging="227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008" w:hanging="227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375" w:hanging="227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742" w:hanging="227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0109" w:hanging="227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1476" w:hanging="227"/>
      </w:pPr>
      <w:rPr>
        <w:rFonts w:ascii="Symbol" w:hAnsi="Symbol" w:cs="Symbol" w:hint="default"/>
        <w:lang w:val="pl-PL" w:eastAsia="pl-PL" w:bidi="pl-PL"/>
      </w:rPr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9940" w:hanging="301"/>
      </w:pPr>
      <w:rPr>
        <w:sz w:val="18"/>
        <w:spacing w:val="-2"/>
        <w:szCs w:val="18"/>
        <w:w w:val="98"/>
        <w:rFonts w:ascii="Century" w:hAnsi="Century" w:eastAsia="Century" w:cs="Century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309" w:hanging="30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68" w:hanging="30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4027" w:hanging="30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386" w:hanging="30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745" w:hanging="30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8104" w:hanging="30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9463" w:hanging="30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0822" w:hanging="301"/>
      </w:pPr>
      <w:rPr>
        <w:rFonts w:ascii="Symbol" w:hAnsi="Symbol" w:cs="Symbol" w:hint="default"/>
        <w:lang w:val="pl-PL" w:eastAsia="pl-PL" w:bidi="pl-PL"/>
      </w:rPr>
    </w:lvl>
  </w:abstractNum>
  <w:abstractNum w:abstractNumId="34"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abstractNum w:abstractNumId="35"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abstractNum w:abstractNumId="36">
    <w:lvl w:ilvl="0">
      <w:numFmt w:val="bullet"/>
      <w:lvlText w:val="•"/>
      <w:lvlJc w:val="left"/>
      <w:pPr>
        <w:tabs>
          <w:tab w:val="num" w:pos="0"/>
        </w:tabs>
        <w:ind w:left="187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90" w:hanging="171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-"/>
      <w:lvlJc w:val="left"/>
      <w:pPr>
        <w:tabs>
          <w:tab w:val="num" w:pos="0"/>
        </w:tabs>
        <w:ind w:left="961" w:hanging="171"/>
      </w:pPr>
      <w:rPr>
        <w:rFonts w:ascii="Calibri" w:hAnsi="Calibri" w:cs="Calibri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31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02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73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4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14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184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37">
    <w:lvl w:ilvl="0">
      <w:numFmt w:val="bullet"/>
      <w:lvlText w:val="•"/>
      <w:lvlJc w:val="left"/>
      <w:pPr>
        <w:tabs>
          <w:tab w:val="num" w:pos="0"/>
        </w:tabs>
        <w:ind w:left="223" w:hanging="170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37" w:hanging="170"/>
      </w:pPr>
      <w:rPr>
        <w:rFonts w:ascii="Symbol" w:hAnsi="Symbol" w:cs="Symbol" w:hint="default"/>
        <w:lang w:val="pl-PL" w:eastAsia="pl-PL" w:bidi="pl-PL"/>
      </w:rPr>
    </w:lvl>
    <w:lvl w:ilvl="2">
      <w:start w:val="0"/>
      <w:numFmt w:val="bullet"/>
      <w:lvlText w:val="-"/>
      <w:lvlJc w:val="left"/>
      <w:pPr>
        <w:tabs>
          <w:tab w:val="num" w:pos="0"/>
        </w:tabs>
        <w:ind w:left="854" w:hanging="170"/>
      </w:pPr>
      <w:rPr>
        <w:rFonts w:ascii="Calibri" w:hAnsi="Calibri" w:cs="Calibri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1" w:hanging="170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488" w:hanging="170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06" w:hanging="170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123" w:hanging="170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440" w:hanging="170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757" w:hanging="170"/>
      </w:pPr>
      <w:rPr>
        <w:rFonts w:ascii="Symbol" w:hAnsi="Symbol" w:cs="Symbol" w:hint="default"/>
        <w:lang w:val="pl-PL" w:eastAsia="pl-PL" w:bidi="pl-PL"/>
      </w:rPr>
    </w:lvl>
  </w:abstractNum>
  <w:abstractNum w:abstractNumId="38">
    <w:lvl w:ilvl="0">
      <w:numFmt w:val="bullet"/>
      <w:lvlText w:val="•"/>
      <w:lvlJc w:val="left"/>
      <w:pPr>
        <w:tabs>
          <w:tab w:val="num" w:pos="0"/>
        </w:tabs>
        <w:ind w:left="222" w:hanging="171"/>
      </w:pPr>
      <w:rPr>
        <w:rFonts w:ascii="Century Gothic" w:hAnsi="Century Gothic" w:cs="Century Gothic" w:hint="default"/>
        <w:sz w:val="17"/>
        <w:szCs w:val="17"/>
        <w:w w:val="97"/>
        <w:lang w:val="pl-PL" w:eastAsia="pl-PL" w:bidi="pl-PL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400" w:hanging="171"/>
      </w:pPr>
      <w:rPr>
        <w:rFonts w:ascii="Calibri" w:hAnsi="Calibri" w:cs="Calibri" w:hint="default"/>
        <w:lang w:val="pl-PL" w:eastAsia="pl-PL" w:bidi="pl-PL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16" w:hanging="171"/>
      </w:pPr>
      <w:rPr>
        <w:rFonts w:ascii="Symbol" w:hAnsi="Symbol" w:cs="Symbol" w:hint="default"/>
        <w:lang w:val="pl-PL" w:eastAsia="pl-PL" w:bidi="pl-PL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233" w:hanging="171"/>
      </w:pPr>
      <w:rPr>
        <w:rFonts w:ascii="Symbol" w:hAnsi="Symbol" w:cs="Symbol" w:hint="default"/>
        <w:lang w:val="pl-PL" w:eastAsia="pl-PL" w:bidi="pl-PL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649" w:hanging="171"/>
      </w:pPr>
      <w:rPr>
        <w:rFonts w:ascii="Symbol" w:hAnsi="Symbol" w:cs="Symbol" w:hint="default"/>
        <w:lang w:val="pl-PL" w:eastAsia="pl-PL" w:bidi="pl-PL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66" w:hanging="171"/>
      </w:pPr>
      <w:rPr>
        <w:rFonts w:ascii="Symbol" w:hAnsi="Symbol" w:cs="Symbol" w:hint="default"/>
        <w:lang w:val="pl-PL" w:eastAsia="pl-PL" w:bidi="pl-PL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83" w:hanging="171"/>
      </w:pPr>
      <w:rPr>
        <w:rFonts w:ascii="Symbol" w:hAnsi="Symbol" w:cs="Symbol" w:hint="default"/>
        <w:lang w:val="pl-PL" w:eastAsia="pl-PL" w:bidi="pl-PL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99" w:hanging="171"/>
      </w:pPr>
      <w:rPr>
        <w:rFonts w:ascii="Symbol" w:hAnsi="Symbol" w:cs="Symbol" w:hint="default"/>
        <w:lang w:val="pl-PL" w:eastAsia="pl-PL" w:bidi="pl-PL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316" w:hanging="171"/>
      </w:pPr>
      <w:rPr>
        <w:rFonts w:ascii="Symbol" w:hAnsi="Symbol" w:cs="Symbol" w:hint="default"/>
        <w:lang w:val="pl-PL" w:eastAsia="pl-PL" w:bidi="pl-PL"/>
      </w:r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semiHidden="1" w:unhideWhenUsed="1" w:qFormat="1"/>
    <w:lsdException w:name="heading 3" w:uiPriority="1" w:semiHidden="1" w:unhideWhenUsed="1" w:qFormat="1"/>
    <w:lsdException w:name="heading 4" w:uiPriority="1" w:semiHidden="1" w:unhideWhenUsed="1" w:qFormat="1"/>
    <w:lsdException w:name="heading 5" w:uiPriority="1" w:semiHidden="1" w:unhideWhenUsed="1" w:qFormat="1"/>
    <w:lsdException w:name="heading 6" w:uiPriority="1" w:semiHidden="1" w:unhideWhenUsed="1" w:qFormat="1"/>
    <w:lsdException w:name="heading 7" w:uiPriority="1" w:semiHidden="1" w:unhideWhenUsed="1" w:qFormat="1"/>
    <w:lsdException w:name="heading 8" w:uiPriority="1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semiHidden="1" w:unhideWhenUsed="1" w:qFormat="1"/>
    <w:lsdException w:name="toc 2" w:uiPriority="1" w:semiHidden="1" w:unhideWhenUsed="1" w:qFormat="1"/>
    <w:lsdException w:name="toc 3" w:uiPriority="1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8973ed"/>
    <w:pPr>
      <w:widowControl w:val="false"/>
      <w:bidi w:val="0"/>
      <w:spacing w:lineRule="auto" w:line="240" w:before="0" w:after="0"/>
      <w:jc w:val="left"/>
    </w:pPr>
    <w:rPr>
      <w:rFonts w:ascii="Century Gothic" w:hAnsi="Century Gothic" w:eastAsia="Century Gothic" w:cs="Century Gothic"/>
      <w:color w:val="auto"/>
      <w:kern w:val="0"/>
      <w:sz w:val="22"/>
      <w:szCs w:val="22"/>
      <w:lang w:eastAsia="pl-PL" w:bidi="pl-PL" w:val="pl-PL"/>
    </w:rPr>
  </w:style>
  <w:style w:type="paragraph" w:styleId="Nagwek1">
    <w:name w:val="Heading 1"/>
    <w:basedOn w:val="Normal"/>
    <w:link w:val="Nagwek1Znak"/>
    <w:uiPriority w:val="1"/>
    <w:qFormat/>
    <w:rsid w:val="008973ed"/>
    <w:pPr>
      <w:spacing w:before="100" w:after="0"/>
      <w:ind w:left="2008" w:hanging="0"/>
      <w:outlineLvl w:val="0"/>
    </w:pPr>
    <w:rPr>
      <w:rFonts w:ascii="HelveticaNeueLT Pro 55 Roman" w:hAnsi="HelveticaNeueLT Pro 55 Roman" w:eastAsia="HelveticaNeueLT Pro 55 Roman" w:cs="HelveticaNeueLT Pro 55 Roman"/>
      <w:sz w:val="48"/>
      <w:szCs w:val="48"/>
    </w:rPr>
  </w:style>
  <w:style w:type="paragraph" w:styleId="Nagwek2">
    <w:name w:val="Heading 2"/>
    <w:basedOn w:val="Normal"/>
    <w:next w:val="Normal"/>
    <w:link w:val="Nagwek2Znak"/>
    <w:uiPriority w:val="1"/>
    <w:unhideWhenUsed/>
    <w:qFormat/>
    <w:rsid w:val="000500ba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Nagwek3">
    <w:name w:val="Heading 3"/>
    <w:basedOn w:val="Normal"/>
    <w:link w:val="Nagwek3Znak"/>
    <w:uiPriority w:val="1"/>
    <w:qFormat/>
    <w:rsid w:val="008973ed"/>
    <w:pPr>
      <w:spacing w:before="105" w:after="0"/>
      <w:ind w:left="663" w:hanging="0"/>
      <w:outlineLvl w:val="2"/>
    </w:pPr>
    <w:rPr>
      <w:rFonts w:ascii="Calibri" w:hAnsi="Calibri" w:eastAsia="Calibri" w:cs="Calibri"/>
      <w:b/>
      <w:bCs/>
      <w:sz w:val="28"/>
      <w:szCs w:val="28"/>
    </w:rPr>
  </w:style>
  <w:style w:type="paragraph" w:styleId="Nagwek4">
    <w:name w:val="Heading 4"/>
    <w:basedOn w:val="Normal"/>
    <w:link w:val="Nagwek4Znak"/>
    <w:uiPriority w:val="1"/>
    <w:qFormat/>
    <w:rsid w:val="008973ed"/>
    <w:pPr>
      <w:ind w:left="850" w:hanging="0"/>
      <w:outlineLvl w:val="3"/>
    </w:pPr>
    <w:rPr>
      <w:rFonts w:ascii="Calibri" w:hAnsi="Calibri" w:eastAsia="Calibri" w:cs="Calibri"/>
      <w:b/>
      <w:bCs/>
      <w:sz w:val="23"/>
      <w:szCs w:val="23"/>
    </w:rPr>
  </w:style>
  <w:style w:type="paragraph" w:styleId="Nagwek5">
    <w:name w:val="Heading 5"/>
    <w:basedOn w:val="Normal"/>
    <w:link w:val="Nagwek5Znak"/>
    <w:uiPriority w:val="1"/>
    <w:qFormat/>
    <w:rsid w:val="008973ed"/>
    <w:pPr>
      <w:spacing w:before="147" w:after="0"/>
      <w:outlineLvl w:val="4"/>
    </w:pPr>
    <w:rPr>
      <w:sz w:val="23"/>
      <w:szCs w:val="23"/>
    </w:rPr>
  </w:style>
  <w:style w:type="paragraph" w:styleId="Nagwek6">
    <w:name w:val="Heading 6"/>
    <w:basedOn w:val="Normal"/>
    <w:link w:val="Nagwek6Znak"/>
    <w:uiPriority w:val="1"/>
    <w:qFormat/>
    <w:rsid w:val="008973ed"/>
    <w:pPr>
      <w:spacing w:before="132" w:after="0"/>
      <w:ind w:left="396" w:hanging="0"/>
      <w:outlineLvl w:val="5"/>
    </w:pPr>
    <w:rPr>
      <w:rFonts w:ascii="Calibri" w:hAnsi="Calibri" w:eastAsia="Calibri" w:cs="Calibri"/>
      <w:b/>
      <w:bCs/>
      <w:i/>
      <w:sz w:val="21"/>
      <w:szCs w:val="21"/>
    </w:rPr>
  </w:style>
  <w:style w:type="paragraph" w:styleId="Nagwek7">
    <w:name w:val="Heading 7"/>
    <w:basedOn w:val="Normal"/>
    <w:link w:val="Nagwek7Znak"/>
    <w:uiPriority w:val="1"/>
    <w:qFormat/>
    <w:rsid w:val="008973ed"/>
    <w:pPr>
      <w:ind w:left="2976" w:hanging="0"/>
      <w:outlineLvl w:val="6"/>
    </w:pPr>
    <w:rPr>
      <w:rFonts w:ascii="HelveticaNeueLT Pro 65 Md" w:hAnsi="HelveticaNeueLT Pro 65 Md" w:eastAsia="HelveticaNeueLT Pro 65 Md" w:cs="HelveticaNeueLT Pro 65 Md"/>
      <w:sz w:val="20"/>
      <w:szCs w:val="20"/>
    </w:rPr>
  </w:style>
  <w:style w:type="paragraph" w:styleId="Nagwek8">
    <w:name w:val="Heading 8"/>
    <w:basedOn w:val="Normal"/>
    <w:link w:val="Nagwek8Znak"/>
    <w:uiPriority w:val="1"/>
    <w:qFormat/>
    <w:rsid w:val="008973ed"/>
    <w:pPr>
      <w:spacing w:lineRule="exact" w:line="221"/>
      <w:ind w:left="623" w:hanging="227"/>
      <w:outlineLvl w:val="7"/>
    </w:pPr>
    <w:rPr>
      <w:b/>
      <w:bCs/>
      <w:i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2Znak" w:customStyle="1">
    <w:name w:val="Nagłówek 2 Znak"/>
    <w:basedOn w:val="DefaultParagraphFont"/>
    <w:uiPriority w:val="9"/>
    <w:semiHidden/>
    <w:qFormat/>
    <w:rsid w:val="000500ba"/>
    <w:rPr>
      <w:rFonts w:ascii="Calibri Light" w:hAnsi="Calibri Light" w:eastAsia="" w:cs="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styleId="PunktoryZnak" w:customStyle="1">
    <w:name w:val="punktory Znak"/>
    <w:basedOn w:val="AkapitzlistZnak"/>
    <w:link w:val="Punktory"/>
    <w:qFormat/>
    <w:rsid w:val="00e81c5c"/>
    <w:rPr>
      <w:rFonts w:ascii="Times New Roman" w:hAnsi="Times New Roman" w:eastAsia="Century Gothic" w:cs="Times New Roman"/>
      <w:bCs/>
      <w:sz w:val="24"/>
      <w:szCs w:val="24"/>
      <w:lang w:eastAsia="pl-PL" w:bidi="pl-PL"/>
    </w:rPr>
  </w:style>
  <w:style w:type="character" w:styleId="Sty10Znak" w:customStyle="1">
    <w:name w:val="Sty10 Znak"/>
    <w:basedOn w:val="PunktoryZnak"/>
    <w:link w:val="Sty10"/>
    <w:qFormat/>
    <w:rsid w:val="00e81c5c"/>
    <w:rPr>
      <w:rFonts w:ascii="Times New Roman" w:hAnsi="Times New Roman" w:eastAsia="Century Gothic" w:cs="Times New Roman"/>
      <w:bCs/>
      <w:sz w:val="24"/>
      <w:szCs w:val="24"/>
      <w:lang w:eastAsia="pl-PL" w:bidi="pl-PL"/>
    </w:rPr>
  </w:style>
  <w:style w:type="character" w:styleId="AkapitzlistZnak" w:customStyle="1">
    <w:name w:val="Akapit z listą Znak"/>
    <w:basedOn w:val="DefaultParagraphFont"/>
    <w:link w:val="ListParagraph"/>
    <w:uiPriority w:val="34"/>
    <w:qFormat/>
    <w:rsid w:val="00474684"/>
    <w:rPr/>
  </w:style>
  <w:style w:type="character" w:styleId="Nagwek1Znak" w:customStyle="1">
    <w:name w:val="Nagłówek 1 Znak"/>
    <w:basedOn w:val="DefaultParagraphFont"/>
    <w:uiPriority w:val="1"/>
    <w:qFormat/>
    <w:rsid w:val="008973ed"/>
    <w:rPr>
      <w:rFonts w:ascii="HelveticaNeueLT Pro 55 Roman" w:hAnsi="HelveticaNeueLT Pro 55 Roman" w:eastAsia="HelveticaNeueLT Pro 55 Roman" w:cs="HelveticaNeueLT Pro 55 Roman"/>
      <w:sz w:val="48"/>
      <w:szCs w:val="48"/>
      <w:lang w:eastAsia="pl-PL" w:bidi="pl-PL"/>
    </w:rPr>
  </w:style>
  <w:style w:type="character" w:styleId="Nagwek3Znak" w:customStyle="1">
    <w:name w:val="Nagłówek 3 Znak"/>
    <w:basedOn w:val="DefaultParagraphFont"/>
    <w:uiPriority w:val="1"/>
    <w:qFormat/>
    <w:rsid w:val="008973ed"/>
    <w:rPr>
      <w:rFonts w:ascii="Calibri" w:hAnsi="Calibri" w:eastAsia="Calibri" w:cs="Calibri"/>
      <w:b/>
      <w:bCs/>
      <w:sz w:val="28"/>
      <w:szCs w:val="28"/>
      <w:lang w:eastAsia="pl-PL" w:bidi="pl-PL"/>
    </w:rPr>
  </w:style>
  <w:style w:type="character" w:styleId="Nagwek4Znak" w:customStyle="1">
    <w:name w:val="Nagłówek 4 Znak"/>
    <w:basedOn w:val="DefaultParagraphFont"/>
    <w:uiPriority w:val="1"/>
    <w:qFormat/>
    <w:rsid w:val="008973ed"/>
    <w:rPr>
      <w:rFonts w:ascii="Calibri" w:hAnsi="Calibri" w:eastAsia="Calibri" w:cs="Calibri"/>
      <w:b/>
      <w:bCs/>
      <w:sz w:val="23"/>
      <w:szCs w:val="23"/>
      <w:lang w:eastAsia="pl-PL" w:bidi="pl-PL"/>
    </w:rPr>
  </w:style>
  <w:style w:type="character" w:styleId="Nagwek5Znak" w:customStyle="1">
    <w:name w:val="Nagłówek 5 Znak"/>
    <w:basedOn w:val="DefaultParagraphFont"/>
    <w:uiPriority w:val="1"/>
    <w:qFormat/>
    <w:rsid w:val="008973ed"/>
    <w:rPr>
      <w:rFonts w:ascii="Century Gothic" w:hAnsi="Century Gothic" w:eastAsia="Century Gothic" w:cs="Century Gothic"/>
      <w:sz w:val="23"/>
      <w:szCs w:val="23"/>
      <w:lang w:eastAsia="pl-PL" w:bidi="pl-PL"/>
    </w:rPr>
  </w:style>
  <w:style w:type="character" w:styleId="Nagwek6Znak" w:customStyle="1">
    <w:name w:val="Nagłówek 6 Znak"/>
    <w:basedOn w:val="DefaultParagraphFont"/>
    <w:uiPriority w:val="1"/>
    <w:qFormat/>
    <w:rsid w:val="008973ed"/>
    <w:rPr>
      <w:rFonts w:ascii="Calibri" w:hAnsi="Calibri" w:eastAsia="Calibri" w:cs="Calibri"/>
      <w:b/>
      <w:bCs/>
      <w:i/>
      <w:sz w:val="21"/>
      <w:szCs w:val="21"/>
      <w:lang w:eastAsia="pl-PL" w:bidi="pl-PL"/>
    </w:rPr>
  </w:style>
  <w:style w:type="character" w:styleId="Nagwek7Znak" w:customStyle="1">
    <w:name w:val="Nagłówek 7 Znak"/>
    <w:basedOn w:val="DefaultParagraphFont"/>
    <w:uiPriority w:val="1"/>
    <w:qFormat/>
    <w:rsid w:val="008973ed"/>
    <w:rPr>
      <w:rFonts w:ascii="HelveticaNeueLT Pro 65 Md" w:hAnsi="HelveticaNeueLT Pro 65 Md" w:eastAsia="HelveticaNeueLT Pro 65 Md" w:cs="HelveticaNeueLT Pro 65 Md"/>
      <w:sz w:val="20"/>
      <w:szCs w:val="20"/>
      <w:lang w:eastAsia="pl-PL" w:bidi="pl-PL"/>
    </w:rPr>
  </w:style>
  <w:style w:type="character" w:styleId="Nagwek8Znak" w:customStyle="1">
    <w:name w:val="Nagłówek 8 Znak"/>
    <w:basedOn w:val="DefaultParagraphFont"/>
    <w:uiPriority w:val="1"/>
    <w:qFormat/>
    <w:rsid w:val="008973ed"/>
    <w:rPr>
      <w:rFonts w:ascii="Century Gothic" w:hAnsi="Century Gothic" w:eastAsia="Century Gothic" w:cs="Century Gothic"/>
      <w:b/>
      <w:bCs/>
      <w:i/>
      <w:sz w:val="18"/>
      <w:szCs w:val="18"/>
      <w:lang w:eastAsia="pl-PL" w:bidi="pl-PL"/>
    </w:rPr>
  </w:style>
  <w:style w:type="character" w:styleId="TekstpodstawowyZnak" w:customStyle="1">
    <w:name w:val="Tekst podstawowy Znak"/>
    <w:basedOn w:val="DefaultParagraphFont"/>
    <w:uiPriority w:val="1"/>
    <w:qFormat/>
    <w:rsid w:val="008973ed"/>
    <w:rPr>
      <w:rFonts w:ascii="Century" w:hAnsi="Century" w:eastAsia="Century" w:cs="Century"/>
      <w:sz w:val="18"/>
      <w:szCs w:val="18"/>
      <w:lang w:eastAsia="pl-PL" w:bidi="pl-PL"/>
    </w:rPr>
  </w:style>
  <w:style w:type="character" w:styleId="NagwekZnak" w:customStyle="1">
    <w:name w:val="Nagłówek Znak"/>
    <w:basedOn w:val="DefaultParagraphFont"/>
    <w:uiPriority w:val="99"/>
    <w:qFormat/>
    <w:rsid w:val="005019fc"/>
    <w:rPr>
      <w:rFonts w:ascii="Century Gothic" w:hAnsi="Century Gothic" w:eastAsia="Century Gothic" w:cs="Century Gothic"/>
      <w:lang w:eastAsia="pl-PL" w:bidi="pl-PL"/>
    </w:rPr>
  </w:style>
  <w:style w:type="character" w:styleId="StopkaZnak" w:customStyle="1">
    <w:name w:val="Stopka Znak"/>
    <w:basedOn w:val="DefaultParagraphFont"/>
    <w:uiPriority w:val="99"/>
    <w:qFormat/>
    <w:rsid w:val="005019fc"/>
    <w:rPr>
      <w:rFonts w:ascii="Century Gothic" w:hAnsi="Century Gothic" w:eastAsia="Century Gothic" w:cs="Century Gothic"/>
      <w:lang w:eastAsia="pl-PL" w:bidi="pl-PL"/>
    </w:rPr>
  </w:style>
  <w:style w:type="character" w:styleId="StopkaScZnak" w:customStyle="1">
    <w:name w:val="stopka_Sc Znak"/>
    <w:basedOn w:val="StopkaZnak"/>
    <w:link w:val="StopkaSc"/>
    <w:qFormat/>
    <w:rsid w:val="005019fc"/>
    <w:rPr>
      <w:rFonts w:ascii="Century Gothic" w:hAnsi="Century Gothic" w:eastAsia="Century Gothic" w:cs="Times New Roman"/>
      <w:sz w:val="16"/>
      <w:szCs w:val="16"/>
      <w:lang w:val="en-US" w:eastAsia="pl-PL" w:bidi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5190a"/>
    <w:rPr>
      <w:rFonts w:ascii="Segoe UI" w:hAnsi="Segoe UI" w:eastAsia="Century Gothic" w:cs="Segoe UI"/>
      <w:sz w:val="18"/>
      <w:szCs w:val="18"/>
      <w:lang w:eastAsia="pl-PL" w:bidi="pl-PL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5190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85190a"/>
    <w:rPr>
      <w:rFonts w:ascii="Century Gothic" w:hAnsi="Century Gothic" w:eastAsia="Century Gothic" w:cs="Century Gothic"/>
      <w:sz w:val="20"/>
      <w:szCs w:val="20"/>
      <w:lang w:eastAsia="pl-PL" w:bidi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85190a"/>
    <w:rPr>
      <w:rFonts w:ascii="Century Gothic" w:hAnsi="Century Gothic" w:eastAsia="Century Gothic" w:cs="Century Gothic"/>
      <w:b/>
      <w:bCs/>
      <w:sz w:val="20"/>
      <w:szCs w:val="20"/>
      <w:lang w:eastAsia="pl-PL" w:bidi="pl-PL"/>
    </w:rPr>
  </w:style>
  <w:style w:type="character" w:styleId="PlaceholderText">
    <w:name w:val="Placeholder Text"/>
    <w:basedOn w:val="DefaultParagraphFont"/>
    <w:uiPriority w:val="99"/>
    <w:semiHidden/>
    <w:qFormat/>
    <w:rsid w:val="008909f2"/>
    <w:rPr>
      <w:color w:val="80808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1"/>
    <w:qFormat/>
    <w:rsid w:val="008973ed"/>
    <w:pPr/>
    <w:rPr>
      <w:rFonts w:ascii="Century" w:hAnsi="Century" w:eastAsia="Century" w:cs="Century"/>
      <w:sz w:val="18"/>
      <w:szCs w:val="18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Punktory" w:customStyle="1">
    <w:name w:val="punktory"/>
    <w:basedOn w:val="ListParagraph"/>
    <w:link w:val="PunktoryZnak"/>
    <w:qFormat/>
    <w:rsid w:val="00e81c5c"/>
    <w:pPr>
      <w:numPr>
        <w:ilvl w:val="0"/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link w:val="AkapitzlistZnak"/>
    <w:uiPriority w:val="1"/>
    <w:qFormat/>
    <w:rsid w:val="00474684"/>
    <w:pPr>
      <w:spacing w:before="0" w:after="0"/>
      <w:ind w:left="720" w:hanging="0"/>
      <w:contextualSpacing/>
    </w:pPr>
    <w:rPr/>
  </w:style>
  <w:style w:type="paragraph" w:styleId="Sty10" w:customStyle="1">
    <w:name w:val="Sty10"/>
    <w:basedOn w:val="Punktory"/>
    <w:link w:val="Sty10Znak"/>
    <w:qFormat/>
    <w:rsid w:val="00e81c5c"/>
    <w:pPr/>
    <w:rPr/>
  </w:style>
  <w:style w:type="paragraph" w:styleId="Spistreci1">
    <w:name w:val="TOC 1"/>
    <w:basedOn w:val="Normal"/>
    <w:uiPriority w:val="1"/>
    <w:qFormat/>
    <w:rsid w:val="008973ed"/>
    <w:pPr>
      <w:spacing w:before="122" w:after="0"/>
      <w:ind w:left="850" w:hanging="0"/>
    </w:pPr>
    <w:rPr>
      <w:rFonts w:ascii="Calibri" w:hAnsi="Calibri" w:eastAsia="Calibri" w:cs="Calibri"/>
      <w:b/>
      <w:bCs/>
      <w:sz w:val="23"/>
      <w:szCs w:val="23"/>
    </w:rPr>
  </w:style>
  <w:style w:type="paragraph" w:styleId="Spistreci2">
    <w:name w:val="TOC 2"/>
    <w:basedOn w:val="Normal"/>
    <w:uiPriority w:val="1"/>
    <w:qFormat/>
    <w:rsid w:val="008973ed"/>
    <w:pPr>
      <w:spacing w:before="122" w:after="0"/>
      <w:ind w:left="850" w:hanging="0"/>
    </w:pPr>
    <w:rPr>
      <w:rFonts w:ascii="Gill Sans MT" w:hAnsi="Gill Sans MT" w:eastAsia="Gill Sans MT" w:cs="Gill Sans MT"/>
      <w:b/>
      <w:bCs/>
      <w:i/>
    </w:rPr>
  </w:style>
  <w:style w:type="paragraph" w:styleId="Spistreci3">
    <w:name w:val="TOC 3"/>
    <w:basedOn w:val="Normal"/>
    <w:uiPriority w:val="1"/>
    <w:qFormat/>
    <w:rsid w:val="008973ed"/>
    <w:pPr>
      <w:spacing w:before="48" w:after="0"/>
      <w:ind w:left="1247" w:hanging="0"/>
    </w:pPr>
    <w:rPr>
      <w:rFonts w:ascii="Century" w:hAnsi="Century" w:eastAsia="Century" w:cs="Century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8973ed"/>
    <w:pPr/>
    <w:rPr/>
  </w:style>
  <w:style w:type="paragraph" w:styleId="Rozdzial" w:customStyle="1">
    <w:name w:val="rozdzial"/>
    <w:basedOn w:val="Normal"/>
    <w:uiPriority w:val="99"/>
    <w:qFormat/>
    <w:rsid w:val="00a125ee"/>
    <w:pPr>
      <w:tabs>
        <w:tab w:val="clear" w:pos="708"/>
        <w:tab w:val="left" w:pos="454" w:leader="none"/>
      </w:tabs>
      <w:spacing w:lineRule="auto" w:line="288"/>
      <w:ind w:left="454" w:hanging="454"/>
    </w:pPr>
    <w:rPr>
      <w:rFonts w:ascii="Humanst521EUBold" w:hAnsi="Humanst521EUBold" w:eastAsia="Times New Roman" w:cs="Humanst521EUBold"/>
      <w:b/>
      <w:bCs/>
      <w:color w:val="000000"/>
      <w:sz w:val="28"/>
      <w:szCs w:val="28"/>
      <w:vertAlign w:val="superscript"/>
      <w:lang w:eastAsia="en-US" w:bidi="ar-SA"/>
    </w:rPr>
  </w:style>
  <w:style w:type="paragraph" w:styleId="Tekstglowny" w:customStyle="1">
    <w:name w:val="tekst_glowny"/>
    <w:basedOn w:val="Normal"/>
    <w:uiPriority w:val="99"/>
    <w:qFormat/>
    <w:rsid w:val="00a125ee"/>
    <w:pPr>
      <w:tabs>
        <w:tab w:val="clear" w:pos="708"/>
        <w:tab w:val="left" w:pos="227" w:leader="none"/>
        <w:tab w:val="left" w:pos="369" w:leader="none"/>
      </w:tabs>
      <w:spacing w:lineRule="atLeast" w:line="230"/>
      <w:jc w:val="both"/>
    </w:pPr>
    <w:rPr>
      <w:rFonts w:ascii="CentSchbookEU-Normal" w:hAnsi="CentSchbookEU-Normal" w:eastAsia="Times New Roman" w:cs="CentSchbookEU-Normal"/>
      <w:color w:val="000000"/>
      <w:sz w:val="18"/>
      <w:szCs w:val="18"/>
      <w:lang w:eastAsia="en-US" w:bidi="ar-SA"/>
    </w:rPr>
  </w:style>
  <w:style w:type="paragraph" w:styleId="Rdtytuzkwadratemgranatowym" w:customStyle="1">
    <w:name w:val="śródtytuł z kwadratem granatowym"/>
    <w:basedOn w:val="Normal"/>
    <w:uiPriority w:val="99"/>
    <w:qFormat/>
    <w:rsid w:val="00a125ee"/>
    <w:pPr>
      <w:tabs>
        <w:tab w:val="clear" w:pos="708"/>
        <w:tab w:val="left" w:pos="283" w:leader="none"/>
      </w:tabs>
      <w:suppressAutoHyphens w:val="true"/>
      <w:spacing w:lineRule="auto" w:line="288" w:before="503" w:after="0"/>
      <w:ind w:left="283" w:hanging="283"/>
    </w:pPr>
    <w:rPr>
      <w:rFonts w:ascii="Humanst521EUBold" w:hAnsi="Humanst521EUBold" w:eastAsia="Times New Roman" w:cs="Humanst521EUBold"/>
      <w:b/>
      <w:bCs/>
      <w:color w:val="000000"/>
      <w:sz w:val="23"/>
      <w:szCs w:val="23"/>
      <w:lang w:eastAsia="en-US" w:bidi="ar-SA"/>
    </w:rPr>
  </w:style>
  <w:style w:type="paragraph" w:styleId="Kropkalistalisty" w:customStyle="1">
    <w:name w:val="kropka_lista (listy)"/>
    <w:basedOn w:val="Tekstglowny"/>
    <w:uiPriority w:val="99"/>
    <w:qFormat/>
    <w:rsid w:val="006a1949"/>
    <w:pPr>
      <w:ind w:left="227" w:hanging="227"/>
      <w:textAlignment w:val="center"/>
    </w:pPr>
    <w:rPr/>
  </w:style>
  <w:style w:type="paragraph" w:styleId="Rdtytuzkwadratemzielonym" w:customStyle="1">
    <w:name w:val="śródtytuł z kwadratem zielonym"/>
    <w:basedOn w:val="Normal"/>
    <w:uiPriority w:val="99"/>
    <w:qFormat/>
    <w:rsid w:val="006a1949"/>
    <w:pPr>
      <w:tabs>
        <w:tab w:val="clear" w:pos="708"/>
        <w:tab w:val="left" w:pos="283" w:leader="none"/>
      </w:tabs>
      <w:suppressAutoHyphens w:val="true"/>
      <w:spacing w:lineRule="auto" w:line="288" w:before="283" w:after="57"/>
      <w:ind w:left="283" w:hanging="283"/>
      <w:textAlignment w:val="center"/>
    </w:pPr>
    <w:rPr>
      <w:rFonts w:ascii="Humanst521EUBold" w:hAnsi="Humanst521EUBold" w:eastAsia="Times New Roman" w:cs="Humanst521EUBold"/>
      <w:b/>
      <w:bCs/>
      <w:color w:val="000000"/>
      <w:sz w:val="23"/>
      <w:szCs w:val="23"/>
      <w:lang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5019fc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5019fc"/>
    <w:pPr>
      <w:tabs>
        <w:tab w:val="clear" w:pos="708"/>
        <w:tab w:val="center" w:pos="4513" w:leader="none"/>
        <w:tab w:val="right" w:pos="9026" w:leader="none"/>
      </w:tabs>
    </w:pPr>
    <w:rPr/>
  </w:style>
  <w:style w:type="paragraph" w:styleId="StopkaSc" w:customStyle="1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 w:leader="none"/>
        <w:tab w:val="right" w:pos="9072" w:leader="none"/>
      </w:tabs>
    </w:pPr>
    <w:rPr>
      <w:rFonts w:cs="Times New Roman"/>
      <w:sz w:val="16"/>
      <w:szCs w:val="16"/>
      <w:lang w:val="en-US"/>
    </w:rPr>
  </w:style>
  <w:style w:type="paragraph" w:styleId="Lista0listy" w:customStyle="1">
    <w:name w:val="Lista 0 (listy)"/>
    <w:basedOn w:val="Tekstglowny"/>
    <w:uiPriority w:val="99"/>
    <w:qFormat/>
    <w:rsid w:val="004f6c5c"/>
    <w:pPr>
      <w:ind w:left="227" w:hanging="227"/>
      <w:textAlignment w:val="center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5190a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85190a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85190a"/>
    <w:pPr/>
    <w:rPr>
      <w:b/>
      <w:bCs/>
    </w:rPr>
  </w:style>
  <w:style w:type="paragraph" w:styleId="Revision">
    <w:name w:val="Revision"/>
    <w:uiPriority w:val="99"/>
    <w:semiHidden/>
    <w:qFormat/>
    <w:rsid w:val="008909f2"/>
    <w:pPr>
      <w:widowControl/>
      <w:bidi w:val="0"/>
      <w:spacing w:lineRule="auto" w:line="240" w:before="0" w:after="0"/>
      <w:jc w:val="left"/>
    </w:pPr>
    <w:rPr>
      <w:rFonts w:ascii="Century Gothic" w:hAnsi="Century Gothic" w:eastAsia="Century Gothic" w:cs="Century Gothic"/>
      <w:color w:val="auto"/>
      <w:kern w:val="0"/>
      <w:sz w:val="22"/>
      <w:szCs w:val="22"/>
      <w:lang w:eastAsia="pl-PL" w:bidi="pl-PL" w:val="pl-PL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973ed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FE1D3-ACBA-44AA-B579-9C8F6D89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LibreOffice/7.5.0.3$Windows_X86_64 LibreOffice_project/c21113d003cd3efa8c53188764377a8272d9d6de</Application>
  <AppVersion>15.0000</AppVersion>
  <Pages>13</Pages>
  <Words>4575</Words>
  <Characters>31232</Characters>
  <CharactersWithSpaces>35253</CharactersWithSpaces>
  <Paragraphs>309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2023-09-06T10:24:00Z</dcterms:created>
  <dc:creator>Dorota Okulewicz</dc:creator>
  <dc:description/>
  <dc:language>pl-PL</dc:language>
  <cp:lastModifiedBy>Agnieszka Dziekanowska</cp:lastModifiedBy>
  <dcterms:modified xsi:type="dcterms:W3CDTF">2023-09-11T10:43:57Z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